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2" w:lineRule="exact"/>
        <w:jc w:val="both"/>
        <w:rPr>
          <w:rFonts w:ascii="楷体" w:hAnsi="楷体" w:eastAsia="楷体"/>
          <w:b/>
          <w:color w:val="auto"/>
        </w:rPr>
      </w:pPr>
      <w:r>
        <w:rPr>
          <w:rFonts w:ascii="楷体" w:hAnsi="楷体" w:eastAsia="楷体"/>
          <w:b/>
          <w:color w:val="auto"/>
        </w:rPr>
        <w:t xml:space="preserve">1.1 </w:t>
      </w:r>
      <w:r>
        <w:rPr>
          <w:rFonts w:hint="eastAsia" w:ascii="楷体" w:hAnsi="楷体" w:eastAsia="楷体"/>
          <w:b/>
          <w:color w:val="auto"/>
        </w:rPr>
        <w:t>碎石、机制砂采购招标通告</w:t>
      </w:r>
    </w:p>
    <w:p>
      <w:pPr>
        <w:spacing w:line="360" w:lineRule="exact"/>
        <w:ind w:left="180" w:leftChars="75"/>
        <w:jc w:val="center"/>
        <w:rPr>
          <w:rFonts w:ascii="楷体" w:hAnsi="楷体" w:eastAsia="楷体"/>
          <w:color w:val="auto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80" w:leftChars="75"/>
        <w:jc w:val="center"/>
        <w:textAlignment w:val="auto"/>
        <w:rPr>
          <w:rFonts w:ascii="楷体" w:hAnsi="楷体" w:eastAsia="楷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80" w:leftChars="75"/>
        <w:jc w:val="center"/>
        <w:textAlignment w:val="auto"/>
        <w:rPr>
          <w:rFonts w:ascii="楷体" w:hAnsi="楷体" w:eastAsia="楷体"/>
          <w:color w:val="auto"/>
          <w:sz w:val="44"/>
          <w:szCs w:val="44"/>
        </w:rPr>
      </w:pPr>
      <w:r>
        <w:rPr>
          <w:rFonts w:hint="eastAsia" w:ascii="楷体" w:hAnsi="楷体" w:eastAsia="楷体"/>
          <w:color w:val="auto"/>
          <w:sz w:val="44"/>
          <w:szCs w:val="44"/>
        </w:rPr>
        <w:t>广西路建工程集团有限公司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80" w:leftChars="75"/>
        <w:jc w:val="center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  <w:sz w:val="44"/>
          <w:szCs w:val="44"/>
        </w:rPr>
        <w:t>沥青</w:t>
      </w:r>
      <w:r>
        <w:rPr>
          <w:rFonts w:ascii="楷体" w:hAnsi="楷体" w:eastAsia="楷体"/>
          <w:color w:val="auto"/>
          <w:sz w:val="44"/>
          <w:szCs w:val="44"/>
        </w:rPr>
        <w:t>中下面层石灰岩</w:t>
      </w:r>
      <w:r>
        <w:rPr>
          <w:rFonts w:hint="eastAsia" w:ascii="楷体" w:hAnsi="楷体" w:eastAsia="楷体"/>
          <w:color w:val="auto"/>
          <w:sz w:val="44"/>
          <w:szCs w:val="44"/>
        </w:rPr>
        <w:t>碎石、机制砂采购招标通告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因工程施工需要，广西路建工程集团有限公司决定对钦北</w:t>
      </w:r>
      <w:r>
        <w:rPr>
          <w:rFonts w:ascii="楷体" w:hAnsi="楷体" w:eastAsia="楷体"/>
          <w:color w:val="auto"/>
        </w:rPr>
        <w:t>改扩建</w:t>
      </w:r>
      <w:r>
        <w:rPr>
          <w:rFonts w:hint="eastAsia" w:ascii="楷体" w:hAnsi="楷体" w:eastAsia="楷体"/>
          <w:color w:val="auto"/>
        </w:rPr>
        <w:t>项目沥青</w:t>
      </w:r>
      <w:r>
        <w:rPr>
          <w:rFonts w:ascii="楷体" w:hAnsi="楷体" w:eastAsia="楷体"/>
          <w:color w:val="auto"/>
        </w:rPr>
        <w:t>中下面层</w:t>
      </w:r>
      <w:r>
        <w:rPr>
          <w:rFonts w:hint="eastAsia" w:ascii="楷体" w:hAnsi="楷体" w:eastAsia="楷体"/>
          <w:color w:val="auto"/>
        </w:rPr>
        <w:t>施工用石</w:t>
      </w:r>
      <w:r>
        <w:rPr>
          <w:rFonts w:ascii="楷体" w:hAnsi="楷体" w:eastAsia="楷体"/>
          <w:color w:val="auto"/>
        </w:rPr>
        <w:t>灰岩</w:t>
      </w:r>
      <w:r>
        <w:rPr>
          <w:rFonts w:hint="eastAsia" w:ascii="楷体" w:hAnsi="楷体" w:eastAsia="楷体"/>
          <w:color w:val="auto"/>
        </w:rPr>
        <w:t>碎石、机制砂等材料进行公开招标采购，现将有关事宜通告如下：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bookmarkStart w:id="1" w:name="_Toc2720"/>
      <w:r>
        <w:rPr>
          <w:rFonts w:hint="eastAsia" w:ascii="楷体" w:hAnsi="楷体" w:eastAsia="楷体"/>
          <w:color w:val="auto"/>
        </w:rPr>
        <w:t>一、工程项目概况与招标范围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</w:rPr>
        <w:t>、工程项目概况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广西路建工程集团有限公司钦北改扩建</w:t>
      </w:r>
      <w:r>
        <w:rPr>
          <w:rFonts w:ascii="楷体" w:hAnsi="楷体" w:eastAsia="楷体"/>
          <w:color w:val="auto"/>
        </w:rPr>
        <w:t>等</w:t>
      </w:r>
      <w:r>
        <w:rPr>
          <w:rFonts w:hint="eastAsia" w:ascii="楷体" w:hAnsi="楷体" w:eastAsia="楷体"/>
          <w:color w:val="auto"/>
        </w:rPr>
        <w:t>项目。根据工程施工需要，采购合格的碎石、机制砂，满足项目沥青</w:t>
      </w:r>
      <w:r>
        <w:rPr>
          <w:rFonts w:ascii="楷体" w:hAnsi="楷体" w:eastAsia="楷体"/>
          <w:color w:val="auto"/>
        </w:rPr>
        <w:t>中下面层</w:t>
      </w:r>
      <w:r>
        <w:rPr>
          <w:rFonts w:hint="eastAsia" w:ascii="楷体" w:hAnsi="楷体" w:eastAsia="楷体"/>
          <w:color w:val="auto"/>
        </w:rPr>
        <w:t>生产施工对石</w:t>
      </w:r>
      <w:r>
        <w:rPr>
          <w:rFonts w:ascii="楷体" w:hAnsi="楷体" w:eastAsia="楷体"/>
          <w:color w:val="auto"/>
        </w:rPr>
        <w:t>灰岩</w:t>
      </w:r>
      <w:r>
        <w:rPr>
          <w:rFonts w:hint="eastAsia" w:ascii="楷体" w:hAnsi="楷体" w:eastAsia="楷体"/>
          <w:color w:val="auto"/>
        </w:rPr>
        <w:t>碎石、机制砂的需求。碎石、机制砂的采购期限为1</w:t>
      </w:r>
      <w:r>
        <w:rPr>
          <w:rFonts w:ascii="楷体" w:hAnsi="楷体" w:eastAsia="楷体"/>
          <w:color w:val="auto"/>
        </w:rPr>
        <w:t>0</w:t>
      </w:r>
      <w:r>
        <w:rPr>
          <w:rFonts w:hint="eastAsia" w:ascii="楷体" w:hAnsi="楷体" w:eastAsia="楷体"/>
          <w:color w:val="auto"/>
        </w:rPr>
        <w:t>个月，合格碎石、机制砂运至广西路建工程集团有限公司钦北改扩建</w:t>
      </w:r>
      <w:r>
        <w:rPr>
          <w:rFonts w:ascii="楷体" w:hAnsi="楷体" w:eastAsia="楷体"/>
          <w:color w:val="auto"/>
        </w:rPr>
        <w:t>等</w:t>
      </w:r>
      <w:r>
        <w:rPr>
          <w:rFonts w:hint="eastAsia" w:ascii="楷体" w:hAnsi="楷体" w:eastAsia="楷体"/>
          <w:color w:val="auto"/>
        </w:rPr>
        <w:t>项目沥青拌合站料场等指定地点。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2</w:t>
      </w:r>
      <w:r>
        <w:rPr>
          <w:rFonts w:ascii="楷体" w:hAnsi="楷体" w:eastAsia="楷体"/>
          <w:color w:val="auto"/>
        </w:rPr>
        <w:t>、</w:t>
      </w:r>
      <w:r>
        <w:rPr>
          <w:rFonts w:hint="eastAsia" w:ascii="楷体" w:hAnsi="楷体" w:eastAsia="楷体"/>
          <w:color w:val="auto"/>
        </w:rPr>
        <w:t>招标范围</w:t>
      </w:r>
    </w:p>
    <w:tbl>
      <w:tblPr>
        <w:tblStyle w:val="4"/>
        <w:tblW w:w="8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263"/>
        <w:gridCol w:w="1309"/>
        <w:gridCol w:w="661"/>
        <w:gridCol w:w="1169"/>
        <w:gridCol w:w="1323"/>
        <w:gridCol w:w="1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包件号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材料名称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计划采购量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使用工程部位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交货地点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QB1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石灰岩机制砂（除尘）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0～2.36mm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m³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50500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沥青中</w:t>
            </w:r>
            <w:r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  <w:t>下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面层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钦北1标一分部主线桩号K2126+040右侧500m处拌合站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石灰岩碎石（整形）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4.75～9.5mm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m³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49150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石灰岩碎石（整形）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9.5～19mm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m³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91000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石灰岩碎石（整形）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19～31.5mm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m³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18300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0"/>
                <w:szCs w:val="20"/>
              </w:rPr>
              <w:t>208950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QB3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石灰岩机制砂（除尘）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0～</w:t>
            </w:r>
            <w:r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.3</w:t>
            </w:r>
            <w:r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  <w:t>6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56500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沥青中</w:t>
            </w:r>
            <w:r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  <w:t>下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面层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钦北1标三分部主线桩号K2129+500右侧500m处1#拌合站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石灰岩碎石（整形）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4.75～9.5mm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28500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石灰岩碎石（整形）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9.5～19mm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75000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石灰岩碎石（整形）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19～31.5mm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30000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0"/>
                <w:szCs w:val="20"/>
              </w:rPr>
              <w:t>190000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540" w:lineRule="exact"/>
        <w:rPr>
          <w:rFonts w:hint="eastAsia" w:ascii="楷体" w:hAnsi="楷体" w:eastAsia="楷体"/>
          <w:color w:val="auto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3、质量标准及技术要求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（1）质量标准：碎石、机制砂的质量技术要求必须符合《机制砂及机制砂混凝土应用技术规范》（DB45 T 1621-2017）、《公路沥青路面施工技术规范》（JTGF40-2004）、《公路工程岩石试验规程》（JTGE41-2005）等标准及其引用标准和规范性引用文件，碎石、机制砂的生产设备、生产工艺满足工程项目的设计要求，及项目业主、监理对碎石、机制砂生产质量的相关规定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/>
        <w:spacing w:line="360" w:lineRule="auto"/>
        <w:ind w:right="370" w:rightChars="154" w:firstLine="480" w:firstLineChars="200"/>
        <w:jc w:val="both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</w:t>
      </w: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）技术要求：详见招标文件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/>
        <w:spacing w:line="360" w:lineRule="auto"/>
        <w:ind w:right="370" w:rightChars="154"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4、交货</w:t>
      </w:r>
      <w:r>
        <w:rPr>
          <w:rFonts w:ascii="楷体" w:hAnsi="楷体" w:eastAsia="楷体"/>
          <w:color w:val="auto"/>
        </w:rPr>
        <w:t>期</w:t>
      </w:r>
      <w:r>
        <w:rPr>
          <w:rFonts w:hint="eastAsia" w:ascii="楷体" w:hAnsi="楷体" w:eastAsia="楷体"/>
          <w:color w:val="auto"/>
        </w:rPr>
        <w:t>：10个</w:t>
      </w:r>
      <w:r>
        <w:rPr>
          <w:rFonts w:ascii="楷体" w:hAnsi="楷体" w:eastAsia="楷体"/>
          <w:color w:val="auto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/>
        <w:spacing w:line="360" w:lineRule="auto"/>
        <w:ind w:right="370" w:rightChars="154"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5、交</w:t>
      </w:r>
      <w:r>
        <w:rPr>
          <w:rFonts w:ascii="楷体" w:hAnsi="楷体" w:eastAsia="楷体"/>
          <w:color w:val="auto"/>
        </w:rPr>
        <w:t>货地点</w:t>
      </w:r>
      <w:r>
        <w:rPr>
          <w:rFonts w:hint="eastAsia" w:ascii="楷体" w:hAnsi="楷体" w:eastAsia="楷体"/>
          <w:color w:val="auto"/>
        </w:rPr>
        <w:t>：详见</w:t>
      </w:r>
      <w:r>
        <w:rPr>
          <w:rFonts w:ascii="楷体" w:hAnsi="楷体" w:eastAsia="楷体"/>
          <w:color w:val="auto"/>
        </w:rPr>
        <w:t>招标文件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color w:val="auto"/>
        </w:rPr>
      </w:pPr>
      <w:bookmarkStart w:id="2" w:name="_Toc4422"/>
      <w:r>
        <w:rPr>
          <w:rFonts w:hint="eastAsia" w:ascii="楷体" w:hAnsi="楷体" w:eastAsia="楷体"/>
          <w:color w:val="auto"/>
        </w:rPr>
        <w:t>二、投标人资格要求</w:t>
      </w:r>
      <w:bookmarkEnd w:id="2"/>
    </w:p>
    <w:p>
      <w:pPr>
        <w:keepNext w:val="0"/>
        <w:keepLines w:val="0"/>
        <w:pageBreakBefore w:val="0"/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</w:rPr>
        <w:t>、资质要求：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在中国境内依法注册，具有独立法人资格</w:t>
      </w:r>
      <w:r>
        <w:rPr>
          <w:rFonts w:hint="eastAsia" w:ascii="楷体" w:hAnsi="楷体" w:eastAsia="楷体"/>
          <w:b/>
          <w:color w:val="auto"/>
        </w:rPr>
        <w:t>，</w:t>
      </w:r>
      <w:r>
        <w:rPr>
          <w:rFonts w:hint="eastAsia" w:ascii="楷体" w:hAnsi="楷体" w:eastAsia="楷体"/>
          <w:color w:val="auto"/>
        </w:rPr>
        <w:t>具有合法、有效的企业法人营业执照、税务登记证书。投标人拟投入到项目碎</w:t>
      </w:r>
      <w:r>
        <w:rPr>
          <w:rFonts w:ascii="楷体" w:hAnsi="楷体" w:eastAsia="楷体"/>
          <w:color w:val="auto"/>
        </w:rPr>
        <w:t>石供应</w:t>
      </w:r>
      <w:r>
        <w:rPr>
          <w:rFonts w:hint="eastAsia" w:ascii="楷体" w:hAnsi="楷体" w:eastAsia="楷体"/>
          <w:color w:val="auto"/>
        </w:rPr>
        <w:t>的生产设备应为自有设备，或投标人为合法石场授权的唯一供应商，设备配置应满足项目对沥青中</w:t>
      </w:r>
      <w:r>
        <w:rPr>
          <w:rFonts w:ascii="楷体" w:hAnsi="楷体" w:eastAsia="楷体"/>
          <w:color w:val="auto"/>
        </w:rPr>
        <w:t>下面层</w:t>
      </w:r>
      <w:r>
        <w:rPr>
          <w:rFonts w:hint="eastAsia" w:ascii="楷体" w:hAnsi="楷体" w:eastAsia="楷体"/>
          <w:color w:val="auto"/>
        </w:rPr>
        <w:t>碎石</w:t>
      </w:r>
      <w:r>
        <w:rPr>
          <w:rFonts w:ascii="楷体" w:hAnsi="楷体" w:eastAsia="楷体"/>
          <w:color w:val="auto"/>
        </w:rPr>
        <w:t>整</w:t>
      </w:r>
      <w:r>
        <w:rPr>
          <w:rFonts w:hint="eastAsia" w:ascii="楷体" w:hAnsi="楷体" w:eastAsia="楷体"/>
          <w:color w:val="auto"/>
        </w:rPr>
        <w:t>形、除尘等质量与需求进度的要求。</w:t>
      </w:r>
    </w:p>
    <w:p>
      <w:pPr>
        <w:keepNext w:val="0"/>
        <w:keepLines w:val="0"/>
        <w:pageBreakBefore w:val="0"/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、财务要求：</w:t>
      </w:r>
    </w:p>
    <w:p>
      <w:pPr>
        <w:keepNext w:val="0"/>
        <w:keepLines w:val="0"/>
        <w:pageBreakBefore w:val="0"/>
        <w:widowControl/>
        <w:kinsoku/>
        <w:overflowPunct/>
        <w:topLinePunct/>
        <w:bidi w:val="0"/>
        <w:snapToGrid/>
        <w:spacing w:beforeAutospacing="0" w:afterAutospacing="0" w:line="360" w:lineRule="auto"/>
        <w:ind w:left="514"/>
        <w:jc w:val="both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投标人具有较强经济实力和良好的财务状况，提供近两年财务状况表。</w:t>
      </w:r>
    </w:p>
    <w:p>
      <w:pPr>
        <w:keepNext w:val="0"/>
        <w:keepLines w:val="0"/>
        <w:pageBreakBefore w:val="0"/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3</w:t>
      </w:r>
      <w:r>
        <w:rPr>
          <w:rFonts w:hint="eastAsia" w:ascii="楷体" w:hAnsi="楷体" w:eastAsia="楷体"/>
          <w:color w:val="auto"/>
        </w:rPr>
        <w:t>、业绩要求：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bidi w:val="0"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近三</w:t>
      </w:r>
      <w:r>
        <w:rPr>
          <w:rFonts w:ascii="楷体" w:hAnsi="楷体" w:eastAsia="楷体"/>
          <w:color w:val="auto"/>
        </w:rPr>
        <w:t>年</w:t>
      </w:r>
      <w:r>
        <w:rPr>
          <w:rFonts w:hint="eastAsia" w:ascii="楷体" w:hAnsi="楷体" w:eastAsia="楷体"/>
          <w:color w:val="auto"/>
        </w:rPr>
        <w:t>具有高速公路</w:t>
      </w:r>
      <w:r>
        <w:rPr>
          <w:rFonts w:ascii="楷体" w:hAnsi="楷体" w:eastAsia="楷体"/>
          <w:color w:val="auto"/>
        </w:rPr>
        <w:t>建设</w:t>
      </w:r>
      <w:r>
        <w:rPr>
          <w:rFonts w:hint="eastAsia" w:ascii="楷体" w:hAnsi="楷体" w:eastAsia="楷体"/>
          <w:color w:val="auto"/>
        </w:rPr>
        <w:t>项目碎石生产及供应工作的经验和业绩。</w:t>
      </w:r>
    </w:p>
    <w:p>
      <w:pPr>
        <w:keepNext w:val="0"/>
        <w:keepLines w:val="0"/>
        <w:pageBreakBefore w:val="0"/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4</w:t>
      </w:r>
      <w:r>
        <w:rPr>
          <w:rFonts w:hint="eastAsia" w:ascii="楷体" w:hAnsi="楷体" w:eastAsia="楷体"/>
          <w:color w:val="auto"/>
        </w:rPr>
        <w:t>、信誉要求：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投标人应有较好的商业信誉。工作信誉不佳、有过不良履约记录的单位不能参与报名</w:t>
      </w:r>
      <w:r>
        <w:rPr>
          <w:rFonts w:hint="eastAsia" w:ascii="楷体" w:hAnsi="楷体" w:eastAsia="楷体"/>
          <w:color w:val="auto"/>
          <w:lang w:eastAsia="zh-CN"/>
        </w:rPr>
        <w:t>，</w:t>
      </w:r>
      <w:r>
        <w:rPr>
          <w:rFonts w:hint="eastAsia" w:ascii="楷体" w:hAnsi="楷体" w:eastAsia="楷体"/>
          <w:color w:val="auto"/>
        </w:rPr>
        <w:t>均按否决投标处理。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其他要求：</w:t>
      </w:r>
    </w:p>
    <w:p>
      <w:pPr>
        <w:keepNext w:val="0"/>
        <w:keepLines w:val="0"/>
        <w:pageBreakBefore w:val="0"/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</w:t>
      </w: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</w:rPr>
        <w:t>）本次招标不接受联合体投标。</w:t>
      </w:r>
    </w:p>
    <w:p>
      <w:pPr>
        <w:keepNext w:val="0"/>
        <w:keepLines w:val="0"/>
        <w:pageBreakBefore w:val="0"/>
        <w:tabs>
          <w:tab w:val="left" w:pos="272"/>
        </w:tabs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</w:t>
      </w: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）与招标人存在利害关系可能影响招标公正性的法人、其他组织或者个人，不得参加投标。若单位负责人为同一人、或者存在控股、管理关系的不同单位，不得参加同一包件投标，否则按否决其投标处理。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textAlignment w:val="auto"/>
        <w:rPr>
          <w:rFonts w:ascii="楷体" w:hAnsi="楷体" w:eastAsia="楷体"/>
          <w:color w:val="auto"/>
        </w:rPr>
      </w:pPr>
      <w:bookmarkStart w:id="3" w:name="OLE_LINK4"/>
      <w:r>
        <w:rPr>
          <w:rFonts w:ascii="楷体" w:hAnsi="楷体" w:eastAsia="楷体"/>
          <w:b/>
          <w:color w:val="auto"/>
        </w:rPr>
        <w:t xml:space="preserve">  </w:t>
      </w:r>
      <w:bookmarkStart w:id="4" w:name="_Toc5724"/>
      <w:r>
        <w:rPr>
          <w:rFonts w:ascii="楷体" w:hAnsi="楷体" w:eastAsia="楷体"/>
          <w:b/>
          <w:color w:val="auto"/>
        </w:rPr>
        <w:t xml:space="preserve">  </w:t>
      </w:r>
      <w:r>
        <w:rPr>
          <w:rFonts w:hint="eastAsia" w:ascii="楷体" w:hAnsi="楷体" w:eastAsia="楷体"/>
          <w:color w:val="auto"/>
        </w:rPr>
        <w:t>三、</w:t>
      </w:r>
      <w:bookmarkEnd w:id="3"/>
      <w:bookmarkEnd w:id="4"/>
      <w:r>
        <w:rPr>
          <w:rFonts w:hint="eastAsia" w:ascii="楷体" w:hAnsi="楷体" w:eastAsia="楷体"/>
          <w:color w:val="auto"/>
        </w:rPr>
        <w:t>发布通告的媒介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本次招标将在阿里巴巴广西路建工程集团有限公司物资采购平台网（简称广西路建“采购平台”https://gxljjt.go.1688.com/page/index.htm）与广西路建工程</w:t>
      </w:r>
      <w:r>
        <w:rPr>
          <w:rFonts w:hint="eastAsia" w:ascii="楷体" w:hAnsi="楷体" w:eastAsia="楷体"/>
          <w:color w:val="auto"/>
          <w:lang w:eastAsia="zh-CN"/>
        </w:rPr>
        <w:t>集</w:t>
      </w:r>
      <w:r>
        <w:rPr>
          <w:rFonts w:hint="eastAsia" w:ascii="楷体" w:hAnsi="楷体" w:eastAsia="楷体"/>
          <w:color w:val="auto"/>
        </w:rPr>
        <w:t>团有限公司官方网站、广西路建工程集团有限公司OA局域网同时发布招标通告。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四、报名方式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b/>
          <w:bCs/>
          <w:color w:val="auto"/>
        </w:rPr>
      </w:pPr>
      <w:r>
        <w:rPr>
          <w:rFonts w:hint="eastAsia" w:ascii="楷体" w:hAnsi="楷体" w:eastAsia="楷体"/>
          <w:color w:val="auto"/>
        </w:rPr>
        <w:t>1、报名方式：投标人应按招标通告要求通过广西路建“采购平台”网上报名；</w:t>
      </w:r>
      <w:r>
        <w:rPr>
          <w:rFonts w:hint="eastAsia" w:ascii="楷体" w:hAnsi="楷体" w:eastAsia="楷体"/>
          <w:b/>
          <w:bCs/>
          <w:color w:val="auto"/>
        </w:rPr>
        <w:t>（未注册阿里巴巴采购平台的投标人需先下载《阿里企业采购平台供应商上线免费注册指导手册》自行完成注册，手册详见招标通告附件）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adjustRightInd/>
        <w:snapToGrid/>
        <w:spacing w:beforeAutospacing="0" w:afterAutospacing="0" w:line="360" w:lineRule="auto"/>
        <w:ind w:right="430" w:rightChars="179"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、报名时间：自通告之日起至</w:t>
      </w:r>
      <w:r>
        <w:rPr>
          <w:rFonts w:ascii="楷体" w:hAnsi="楷体" w:eastAsia="楷体"/>
          <w:color w:val="auto"/>
        </w:rPr>
        <w:t>2020</w:t>
      </w:r>
      <w:r>
        <w:rPr>
          <w:rFonts w:hint="eastAsia" w:ascii="楷体" w:hAnsi="楷体" w:eastAsia="楷体"/>
          <w:color w:val="auto"/>
        </w:rPr>
        <w:t>年</w:t>
      </w: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  <w:lang w:val="en-US" w:eastAsia="zh-CN"/>
        </w:rPr>
        <w:t>2</w:t>
      </w:r>
      <w:bookmarkStart w:id="5" w:name="_GoBack"/>
      <w:bookmarkEnd w:id="5"/>
      <w:r>
        <w:rPr>
          <w:rFonts w:hint="eastAsia" w:ascii="楷体" w:hAnsi="楷体" w:eastAsia="楷体"/>
          <w:color w:val="auto"/>
        </w:rPr>
        <w:t>月</w:t>
      </w: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  <w:lang w:val="en-US" w:eastAsia="zh-CN"/>
        </w:rPr>
        <w:t>9</w:t>
      </w:r>
      <w:r>
        <w:rPr>
          <w:rFonts w:hint="eastAsia" w:ascii="楷体" w:hAnsi="楷体" w:eastAsia="楷体"/>
          <w:color w:val="auto"/>
        </w:rPr>
        <w:t>日</w:t>
      </w:r>
      <w:r>
        <w:rPr>
          <w:rFonts w:ascii="楷体" w:hAnsi="楷体" w:eastAsia="楷体"/>
          <w:color w:val="auto"/>
        </w:rPr>
        <w:t>17</w:t>
      </w:r>
      <w:r>
        <w:rPr>
          <w:rFonts w:hint="eastAsia" w:ascii="楷体" w:hAnsi="楷体" w:eastAsia="楷体"/>
          <w:color w:val="auto"/>
        </w:rPr>
        <w:t>时</w:t>
      </w:r>
      <w:r>
        <w:rPr>
          <w:rFonts w:ascii="楷体" w:hAnsi="楷体" w:eastAsia="楷体"/>
          <w:color w:val="auto"/>
        </w:rPr>
        <w:t>30</w:t>
      </w:r>
      <w:r>
        <w:rPr>
          <w:rFonts w:hint="eastAsia" w:ascii="楷体" w:hAnsi="楷体" w:eastAsia="楷体"/>
          <w:color w:val="auto"/>
        </w:rPr>
        <w:t>分前。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autoSpaceDE/>
        <w:autoSpaceDN/>
        <w:bidi w:val="0"/>
        <w:adjustRightInd/>
        <w:snapToGrid/>
        <w:spacing w:beforeAutospacing="0" w:afterAutospacing="0" w:line="360" w:lineRule="auto"/>
        <w:ind w:right="430" w:rightChars="179"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3</w:t>
      </w:r>
      <w:r>
        <w:rPr>
          <w:rFonts w:hint="eastAsia" w:ascii="楷体" w:hAnsi="楷体" w:eastAsia="楷体"/>
          <w:color w:val="auto"/>
        </w:rPr>
        <w:t>、报名网址：广西路建“采购平台”（</w:t>
      </w:r>
      <w:r>
        <w:rPr>
          <w:rFonts w:ascii="楷体" w:hAnsi="楷体" w:eastAsia="楷体"/>
          <w:color w:val="auto"/>
        </w:rPr>
        <w:t>https://gxljjt.go.1688.com/page/index.htm</w:t>
      </w:r>
      <w:r>
        <w:rPr>
          <w:rFonts w:hint="eastAsia" w:ascii="楷体" w:hAnsi="楷体" w:eastAsia="楷体"/>
          <w:color w:val="auto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4、网上报名需上传材料：企业法人营业执照副本、组织机构代码证、税务</w:t>
      </w:r>
      <w:r>
        <w:rPr>
          <w:rFonts w:hint="eastAsia" w:ascii="楷体" w:hAnsi="楷体" w:eastAsia="楷体"/>
          <w:color w:val="auto"/>
          <w:lang w:eastAsia="zh-CN"/>
        </w:rPr>
        <w:t>登</w:t>
      </w:r>
      <w:r>
        <w:rPr>
          <w:rFonts w:hint="eastAsia" w:ascii="楷体" w:hAnsi="楷体" w:eastAsia="楷体"/>
          <w:color w:val="auto"/>
        </w:rPr>
        <w:t>记证、自有石场设备（包括整形、除尘设备等）发票或合法石场授权书、投标人法人代表授权书、近两年财务状况表、报名人身份证及业绩证明（中标通知书或合同协议书）等资料，上述所列资料的原件须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5、资格审查：投标报名结束后，招标人统一对投标人进行资格审查，确定通过资格审查的投标人。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五、招标文件的获取</w:t>
      </w:r>
    </w:p>
    <w:p>
      <w:pPr>
        <w:keepNext w:val="0"/>
        <w:keepLines w:val="0"/>
        <w:pageBreakBefore w:val="0"/>
        <w:kinsoku/>
        <w:wordWrap w:val="0"/>
        <w:overflowPunct/>
        <w:autoSpaceDE/>
        <w:bidi w:val="0"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本次招标文件采用电子版方式发布。对通过</w:t>
      </w:r>
      <w:r>
        <w:rPr>
          <w:rFonts w:ascii="楷体" w:hAnsi="楷体" w:eastAsia="楷体"/>
          <w:color w:val="auto"/>
        </w:rPr>
        <w:t>资格审查的</w:t>
      </w:r>
      <w:r>
        <w:rPr>
          <w:rFonts w:hint="eastAsia" w:ascii="楷体" w:hAnsi="楷体" w:eastAsia="楷体"/>
          <w:color w:val="auto"/>
        </w:rPr>
        <w:t>投标人，招标人授权投标人在广西路建“采购平台”（</w:t>
      </w:r>
      <w:r>
        <w:rPr>
          <w:rFonts w:ascii="楷体" w:hAnsi="楷体" w:eastAsia="楷体"/>
          <w:color w:val="auto"/>
        </w:rPr>
        <w:t>https://gxljjt.go.1688.com/page/index.htm</w:t>
      </w:r>
      <w:r>
        <w:rPr>
          <w:rFonts w:hint="eastAsia" w:ascii="楷体" w:hAnsi="楷体" w:eastAsia="楷体"/>
          <w:color w:val="auto"/>
        </w:rPr>
        <w:t>）下载电子版招标文件。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六、投标文件的递交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</w:rPr>
        <w:t>、递交方式：线上、线下均要递交。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、递交地点：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</w:t>
      </w: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</w:rPr>
        <w:t>）线上递交</w:t>
      </w:r>
    </w:p>
    <w:p>
      <w:pPr>
        <w:keepNext w:val="0"/>
        <w:keepLines w:val="0"/>
        <w:pageBreakBefore w:val="0"/>
        <w:kinsoku/>
        <w:wordWrap w:val="0"/>
        <w:overflowPunct/>
        <w:autoSpaceDE/>
        <w:bidi w:val="0"/>
        <w:snapToGrid/>
        <w:spacing w:beforeAutospacing="0" w:afterAutospacing="0" w:line="360" w:lineRule="auto"/>
        <w:ind w:firstLine="482" w:firstLineChars="200"/>
        <w:jc w:val="both"/>
        <w:textAlignment w:val="auto"/>
        <w:rPr>
          <w:rFonts w:hint="eastAsia" w:ascii="楷体" w:hAnsi="楷体" w:eastAsia="楷体"/>
          <w:b/>
          <w:bCs/>
          <w:color w:val="auto"/>
        </w:rPr>
      </w:pPr>
      <w:r>
        <w:rPr>
          <w:rFonts w:hint="eastAsia" w:ascii="楷体" w:hAnsi="楷体" w:eastAsia="楷体"/>
          <w:b/>
          <w:bCs/>
          <w:color w:val="auto"/>
        </w:rPr>
        <w:t>广西路建“采购平台”（https://gxljjt.go.1688.com/page/index.htm）投标人需对投标文件加密后再上传，待开标时再向招标人提供文件密码开启。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</w:t>
      </w: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）线下递交</w:t>
      </w:r>
    </w:p>
    <w:p>
      <w:pPr>
        <w:keepNext w:val="0"/>
        <w:keepLines w:val="0"/>
        <w:pageBreakBefore w:val="0"/>
        <w:kinsoku/>
        <w:wordWrap w:val="0"/>
        <w:overflowPunct/>
        <w:autoSpaceDE/>
        <w:bidi w:val="0"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广西路建工程集团有限公司材料管理部（南宁市邕武路1号广西路建工程集团大厦16楼1608室）。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3</w:t>
      </w:r>
      <w:r>
        <w:rPr>
          <w:rFonts w:hint="eastAsia" w:ascii="楷体" w:hAnsi="楷体" w:eastAsia="楷体"/>
          <w:color w:val="auto"/>
        </w:rPr>
        <w:t>、逾期网上未上传或线下未递交投标文件的，招标人不予受理。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七、招标工作安排</w:t>
      </w:r>
      <w:r>
        <w:rPr>
          <w:rFonts w:ascii="楷体" w:hAnsi="楷体" w:eastAsia="楷体"/>
          <w:color w:val="auto"/>
        </w:rPr>
        <w:t xml:space="preserve"> 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1</w:t>
      </w:r>
      <w:r>
        <w:rPr>
          <w:rFonts w:hint="eastAsia" w:ascii="楷体" w:hAnsi="楷体" w:eastAsia="楷体"/>
          <w:color w:val="auto"/>
        </w:rPr>
        <w:t>、开标地点、时间详见招标文件。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2</w:t>
      </w:r>
      <w:r>
        <w:rPr>
          <w:rFonts w:hint="eastAsia" w:ascii="楷体" w:hAnsi="楷体" w:eastAsia="楷体"/>
          <w:color w:val="auto"/>
        </w:rPr>
        <w:t>、本项目不统一组织察勘现场及标前会，由投标人自行踏勘。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3</w:t>
      </w:r>
      <w:r>
        <w:rPr>
          <w:rFonts w:hint="eastAsia" w:ascii="楷体" w:hAnsi="楷体" w:eastAsia="楷体"/>
          <w:color w:val="auto"/>
        </w:rPr>
        <w:t>、投标保证金金额为</w:t>
      </w:r>
      <w:r>
        <w:rPr>
          <w:rFonts w:ascii="楷体" w:hAnsi="楷体" w:eastAsia="楷体"/>
          <w:color w:val="auto"/>
        </w:rPr>
        <w:t>50000</w:t>
      </w:r>
      <w:r>
        <w:rPr>
          <w:rFonts w:hint="eastAsia" w:ascii="楷体" w:hAnsi="楷体" w:eastAsia="楷体"/>
          <w:color w:val="auto"/>
        </w:rPr>
        <w:t>元。投标保证金在合同签订后按规定退还。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八、联系方式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联系人：广西路建工程集团有限公司材料管理部</w:t>
      </w:r>
      <w:r>
        <w:rPr>
          <w:rFonts w:ascii="楷体" w:hAnsi="楷体" w:eastAsia="楷体"/>
          <w:color w:val="auto"/>
        </w:rPr>
        <w:t xml:space="preserve"> </w:t>
      </w:r>
      <w:r>
        <w:rPr>
          <w:rFonts w:hint="eastAsia" w:ascii="楷体" w:hAnsi="楷体" w:eastAsia="楷体"/>
          <w:color w:val="auto"/>
        </w:rPr>
        <w:t>农先生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电</w:t>
      </w:r>
      <w:r>
        <w:rPr>
          <w:rFonts w:ascii="楷体" w:hAnsi="楷体" w:eastAsia="楷体"/>
          <w:color w:val="auto"/>
        </w:rPr>
        <w:t xml:space="preserve"> </w:t>
      </w:r>
      <w:r>
        <w:rPr>
          <w:rFonts w:hint="eastAsia" w:ascii="楷体" w:hAnsi="楷体" w:eastAsia="楷体"/>
          <w:color w:val="auto"/>
        </w:rPr>
        <w:t>话：</w:t>
      </w:r>
      <w:r>
        <w:rPr>
          <w:rFonts w:ascii="楷体" w:hAnsi="楷体" w:eastAsia="楷体"/>
          <w:color w:val="auto"/>
        </w:rPr>
        <w:t xml:space="preserve"> 0771-2519909 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textAlignment w:val="auto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 xml:space="preserve">                                        </w:t>
      </w:r>
      <w:r>
        <w:rPr>
          <w:rFonts w:hint="eastAsia" w:ascii="楷体" w:hAnsi="楷体" w:eastAsia="楷体"/>
          <w:color w:val="auto"/>
        </w:rPr>
        <w:t>广西路建工程集团有限公司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beforeAutospacing="0" w:afterAutospacing="0" w:line="360" w:lineRule="auto"/>
        <w:textAlignment w:val="auto"/>
        <w:rPr>
          <w:rFonts w:ascii="仿宋" w:hAnsi="仿宋" w:eastAsia="仿宋"/>
          <w:b/>
          <w:color w:val="auto"/>
          <w:sz w:val="28"/>
        </w:rPr>
      </w:pPr>
      <w:r>
        <w:rPr>
          <w:rFonts w:ascii="楷体" w:hAnsi="楷体" w:eastAsia="楷体"/>
          <w:color w:val="auto"/>
        </w:rPr>
        <w:t xml:space="preserve">                          </w:t>
      </w:r>
      <w:r>
        <w:rPr>
          <w:rFonts w:hint="eastAsia" w:ascii="楷体" w:hAnsi="楷体" w:eastAsia="楷体"/>
          <w:color w:val="auto"/>
        </w:rPr>
        <w:t xml:space="preserve">               </w:t>
      </w:r>
      <w:r>
        <w:rPr>
          <w:rFonts w:ascii="楷体" w:hAnsi="楷体" w:eastAsia="楷体"/>
          <w:color w:val="auto"/>
        </w:rPr>
        <w:t xml:space="preserve">  </w:t>
      </w:r>
      <w:r>
        <w:rPr>
          <w:rFonts w:hint="eastAsia" w:ascii="楷体" w:hAnsi="楷体" w:eastAsia="楷体"/>
          <w:color w:val="auto"/>
        </w:rPr>
        <w:t>二</w:t>
      </w:r>
      <w:r>
        <w:rPr>
          <w:rFonts w:ascii="楷体" w:hAnsi="楷体" w:eastAsia="楷体"/>
          <w:color w:val="auto"/>
        </w:rPr>
        <w:t>0</w:t>
      </w:r>
      <w:r>
        <w:rPr>
          <w:rFonts w:hint="eastAsia" w:ascii="楷体" w:hAnsi="楷体" w:eastAsia="楷体"/>
          <w:color w:val="auto"/>
        </w:rPr>
        <w:t>二</w:t>
      </w:r>
      <w:r>
        <w:rPr>
          <w:rFonts w:ascii="楷体" w:hAnsi="楷体" w:eastAsia="楷体"/>
          <w:color w:val="auto"/>
        </w:rPr>
        <w:t>0</w:t>
      </w:r>
      <w:r>
        <w:rPr>
          <w:rFonts w:hint="eastAsia" w:ascii="楷体" w:hAnsi="楷体" w:eastAsia="楷体"/>
          <w:color w:val="auto"/>
        </w:rPr>
        <w:t>年十</w:t>
      </w:r>
      <w:r>
        <w:rPr>
          <w:rFonts w:hint="eastAsia" w:ascii="楷体" w:hAnsi="楷体" w:eastAsia="楷体"/>
          <w:color w:val="auto"/>
          <w:lang w:eastAsia="zh-CN"/>
        </w:rPr>
        <w:t>二</w:t>
      </w:r>
      <w:r>
        <w:rPr>
          <w:rFonts w:hint="eastAsia" w:ascii="楷体" w:hAnsi="楷体" w:eastAsia="楷体"/>
          <w:color w:val="auto"/>
        </w:rPr>
        <w:t>月</w:t>
      </w:r>
      <w:r>
        <w:rPr>
          <w:rFonts w:hint="eastAsia" w:ascii="楷体" w:hAnsi="楷体" w:eastAsia="楷体"/>
          <w:color w:val="auto"/>
          <w:lang w:eastAsia="zh-CN"/>
        </w:rPr>
        <w:t>十一</w:t>
      </w:r>
      <w:r>
        <w:rPr>
          <w:rFonts w:hint="eastAsia" w:ascii="楷体" w:hAnsi="楷体" w:eastAsia="楷体"/>
          <w:color w:val="auto"/>
        </w:rPr>
        <w:t>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C4F68"/>
    <w:multiLevelType w:val="multilevel"/>
    <w:tmpl w:val="E99C4F68"/>
    <w:lvl w:ilvl="0" w:tentative="0">
      <w:start w:val="5"/>
      <w:numFmt w:val="decimal"/>
      <w:suff w:val="nothing"/>
      <w:lvlText w:val="%1、"/>
      <w:lvlJc w:val="left"/>
      <w:rPr>
        <w:rFonts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C42B9"/>
    <w:rsid w:val="1EC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nongchengfan</dc:creator>
  <cp:lastModifiedBy>艺潼</cp:lastModifiedBy>
  <dcterms:modified xsi:type="dcterms:W3CDTF">2020-12-13T02:33:17Z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