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2" w:lineRule="exact"/>
        <w:jc w:val="both"/>
        <w:rPr>
          <w:rFonts w:ascii="楷体" w:hAnsi="楷体" w:eastAsia="楷体"/>
          <w:color w:val="auto"/>
        </w:rPr>
      </w:pPr>
      <w:r>
        <w:rPr>
          <w:rFonts w:ascii="楷体" w:hAnsi="楷体" w:eastAsia="楷体"/>
          <w:b/>
          <w:color w:val="auto"/>
        </w:rPr>
        <w:t xml:space="preserve">1.1 </w:t>
      </w:r>
      <w:r>
        <w:rPr>
          <w:rFonts w:hint="eastAsia" w:ascii="楷体" w:hAnsi="楷体" w:eastAsia="楷体"/>
          <w:b/>
          <w:color w:val="auto"/>
        </w:rPr>
        <w:t>碎石、机制砂采购招标通告</w:t>
      </w:r>
      <w:bookmarkStart w:id="0" w:name="OLE_LINK1"/>
    </w:p>
    <w:p>
      <w:pPr>
        <w:spacing w:line="360" w:lineRule="exact"/>
        <w:ind w:left="180" w:leftChars="75"/>
        <w:jc w:val="center"/>
        <w:rPr>
          <w:rFonts w:ascii="楷体" w:hAnsi="楷体" w:eastAsia="楷体"/>
          <w:color w:val="auto"/>
        </w:rPr>
      </w:pPr>
    </w:p>
    <w:p>
      <w:pPr>
        <w:spacing w:line="540" w:lineRule="exact"/>
        <w:ind w:left="180" w:leftChars="75"/>
        <w:jc w:val="center"/>
        <w:rPr>
          <w:rFonts w:ascii="楷体" w:hAnsi="楷体" w:eastAsia="楷体"/>
          <w:color w:val="auto"/>
          <w:sz w:val="44"/>
          <w:szCs w:val="44"/>
        </w:rPr>
      </w:pPr>
      <w:r>
        <w:rPr>
          <w:rFonts w:hint="eastAsia" w:ascii="楷体" w:hAnsi="楷体" w:eastAsia="楷体"/>
          <w:color w:val="auto"/>
          <w:sz w:val="44"/>
          <w:szCs w:val="44"/>
        </w:rPr>
        <w:t>广西路建工程集团有限公司</w:t>
      </w:r>
    </w:p>
    <w:p>
      <w:pPr>
        <w:spacing w:line="540" w:lineRule="exact"/>
        <w:ind w:left="180" w:leftChars="75"/>
        <w:jc w:val="center"/>
        <w:rPr>
          <w:rFonts w:ascii="楷体" w:hAnsi="楷体" w:eastAsia="楷体"/>
          <w:color w:val="auto"/>
        </w:rPr>
      </w:pPr>
      <w:r>
        <w:rPr>
          <w:rFonts w:hint="eastAsia" w:ascii="楷体" w:hAnsi="楷体" w:eastAsia="楷体"/>
          <w:color w:val="auto"/>
          <w:sz w:val="44"/>
          <w:szCs w:val="44"/>
        </w:rPr>
        <w:t>南宁某高速路一分部石灰</w:t>
      </w:r>
      <w:r>
        <w:rPr>
          <w:rFonts w:ascii="楷体" w:hAnsi="楷体" w:eastAsia="楷体"/>
          <w:color w:val="auto"/>
          <w:sz w:val="44"/>
          <w:szCs w:val="44"/>
        </w:rPr>
        <w:t>岩</w:t>
      </w:r>
      <w:r>
        <w:rPr>
          <w:rFonts w:hint="eastAsia" w:ascii="楷体" w:hAnsi="楷体" w:eastAsia="楷体"/>
          <w:color w:val="auto"/>
          <w:sz w:val="44"/>
          <w:szCs w:val="44"/>
        </w:rPr>
        <w:t>碎石、机制砂采购招标通告</w:t>
      </w:r>
    </w:p>
    <w:p>
      <w:pPr>
        <w:widowControl/>
        <w:spacing w:line="360" w:lineRule="auto"/>
        <w:ind w:firstLine="480" w:firstLineChars="200"/>
        <w:jc w:val="both"/>
        <w:rPr>
          <w:rFonts w:hint="eastAsia" w:ascii="楷体" w:hAnsi="楷体" w:eastAsia="楷体"/>
          <w:color w:val="auto"/>
        </w:rPr>
      </w:pPr>
    </w:p>
    <w:p>
      <w:pPr>
        <w:widowControl/>
        <w:spacing w:line="360" w:lineRule="auto"/>
        <w:ind w:firstLine="480" w:firstLineChars="200"/>
        <w:jc w:val="both"/>
        <w:rPr>
          <w:rFonts w:hint="eastAsia" w:ascii="楷体" w:hAnsi="楷体" w:eastAsia="楷体"/>
          <w:color w:val="auto"/>
        </w:rPr>
      </w:pPr>
      <w:r>
        <w:rPr>
          <w:rFonts w:hint="eastAsia" w:ascii="楷体" w:hAnsi="楷体" w:eastAsia="楷体"/>
          <w:color w:val="auto"/>
        </w:rPr>
        <w:t>因工程施工需要，广西路建工程集团有限公司决定对南宁某高速路一分部工程项目施工用石</w:t>
      </w:r>
      <w:r>
        <w:rPr>
          <w:rFonts w:ascii="楷体" w:hAnsi="楷体" w:eastAsia="楷体"/>
          <w:color w:val="auto"/>
        </w:rPr>
        <w:t>灰岩</w:t>
      </w:r>
      <w:r>
        <w:rPr>
          <w:rFonts w:hint="eastAsia" w:ascii="楷体" w:hAnsi="楷体" w:eastAsia="楷体"/>
          <w:color w:val="auto"/>
        </w:rPr>
        <w:t>碎石、机制砂等材料进行公开招标采购，现将有关事宜通告如下：</w:t>
      </w:r>
    </w:p>
    <w:bookmarkEnd w:id="0"/>
    <w:p>
      <w:pPr>
        <w:spacing w:line="360" w:lineRule="auto"/>
        <w:ind w:firstLine="480" w:firstLineChars="200"/>
        <w:rPr>
          <w:rFonts w:hint="eastAsia" w:ascii="楷体" w:hAnsi="楷体" w:eastAsia="楷体" w:cs="楷体"/>
          <w:color w:val="auto"/>
        </w:rPr>
      </w:pPr>
      <w:bookmarkStart w:id="1" w:name="_Toc2720"/>
      <w:r>
        <w:rPr>
          <w:rFonts w:hint="eastAsia" w:ascii="楷体" w:hAnsi="楷体" w:eastAsia="楷体" w:cs="楷体"/>
          <w:color w:val="auto"/>
        </w:rPr>
        <w:t>一、工程项目概况与招标范围</w:t>
      </w:r>
      <w:bookmarkEnd w:id="1"/>
    </w:p>
    <w:p>
      <w:pPr>
        <w:widowControl/>
        <w:topLinePunct/>
        <w:spacing w:line="360" w:lineRule="auto"/>
        <w:ind w:right="370" w:rightChars="154" w:firstLine="480" w:firstLineChars="200"/>
        <w:jc w:val="both"/>
        <w:rPr>
          <w:rFonts w:ascii="楷体" w:hAnsi="楷体" w:eastAsia="楷体"/>
          <w:color w:val="auto"/>
        </w:rPr>
      </w:pPr>
      <w:r>
        <w:rPr>
          <w:rFonts w:ascii="楷体" w:hAnsi="楷体" w:eastAsia="楷体"/>
          <w:color w:val="auto"/>
        </w:rPr>
        <w:t>1</w:t>
      </w:r>
      <w:r>
        <w:rPr>
          <w:rFonts w:hint="eastAsia" w:ascii="楷体" w:hAnsi="楷体" w:eastAsia="楷体"/>
          <w:color w:val="auto"/>
        </w:rPr>
        <w:t>、工程项目概况</w:t>
      </w:r>
    </w:p>
    <w:p>
      <w:pPr>
        <w:widowControl/>
        <w:spacing w:line="360" w:lineRule="auto"/>
        <w:ind w:firstLine="480" w:firstLineChars="200"/>
        <w:jc w:val="both"/>
        <w:rPr>
          <w:rFonts w:hint="eastAsia"/>
          <w:color w:val="auto"/>
        </w:rPr>
      </w:pPr>
      <w:r>
        <w:rPr>
          <w:rFonts w:hint="eastAsia" w:ascii="楷体" w:hAnsi="楷体" w:eastAsia="楷体"/>
          <w:color w:val="auto"/>
        </w:rPr>
        <w:t>南宁某高速路一分部项目位于南宁市邕宁区蒲庙镇，采用新建双向四车道高速公路标准，路基宽26.5m，设计时速120km/h，主要工程包括路基工程、桥梁工程、涵洞工程、路面工程、交安工程、绿化工程、全线房建工程。</w:t>
      </w:r>
    </w:p>
    <w:p>
      <w:pPr>
        <w:widowControl/>
        <w:topLinePunct/>
        <w:ind w:firstLine="480" w:firstLineChars="200"/>
        <w:jc w:val="both"/>
        <w:rPr>
          <w:rFonts w:hint="eastAsia"/>
          <w:color w:val="auto"/>
        </w:rPr>
      </w:pPr>
      <w:r>
        <w:rPr>
          <w:rFonts w:hint="eastAsia" w:ascii="楷体" w:hAnsi="楷体" w:eastAsia="楷体"/>
          <w:color w:val="auto"/>
        </w:rPr>
        <w:t>2、招标范围</w:t>
      </w:r>
    </w:p>
    <w:tbl>
      <w:tblPr>
        <w:tblStyle w:val="7"/>
        <w:tblpPr w:leftFromText="180" w:rightFromText="180" w:vertAnchor="text" w:horzAnchor="page" w:tblpX="1688" w:tblpY="4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213"/>
        <w:gridCol w:w="1529"/>
        <w:gridCol w:w="701"/>
        <w:gridCol w:w="938"/>
        <w:gridCol w:w="171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01"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包件号</w:t>
            </w:r>
          </w:p>
        </w:tc>
        <w:tc>
          <w:tcPr>
            <w:tcW w:w="1213"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材料名称</w:t>
            </w:r>
          </w:p>
        </w:tc>
        <w:tc>
          <w:tcPr>
            <w:tcW w:w="1529"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规格型号</w:t>
            </w:r>
          </w:p>
        </w:tc>
        <w:tc>
          <w:tcPr>
            <w:tcW w:w="701"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单位</w:t>
            </w:r>
          </w:p>
        </w:tc>
        <w:tc>
          <w:tcPr>
            <w:tcW w:w="938"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计划采购量</w:t>
            </w:r>
          </w:p>
        </w:tc>
        <w:tc>
          <w:tcPr>
            <w:tcW w:w="1710"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使用工程部位</w:t>
            </w:r>
          </w:p>
        </w:tc>
        <w:tc>
          <w:tcPr>
            <w:tcW w:w="1530"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1" w:type="dxa"/>
            <w:vMerge w:val="restart"/>
            <w:noWrap w:val="0"/>
            <w:vAlign w:val="top"/>
          </w:tcPr>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p>
          <w:p>
            <w:pPr>
              <w:pStyle w:val="4"/>
              <w:ind w:firstLine="0" w:firstLineChars="0"/>
              <w:jc w:val="both"/>
              <w:rPr>
                <w:rFonts w:hint="default" w:ascii="楷体" w:hAnsi="楷体" w:eastAsia="楷体" w:cs="楷体"/>
                <w:color w:val="auto"/>
                <w:szCs w:val="21"/>
              </w:rPr>
            </w:pPr>
            <w:r>
              <w:rPr>
                <w:rFonts w:ascii="楷体" w:hAnsi="楷体" w:eastAsia="楷体" w:cs="楷体"/>
                <w:color w:val="auto"/>
                <w:szCs w:val="21"/>
              </w:rPr>
              <w:t>NZ1-1</w:t>
            </w:r>
          </w:p>
        </w:tc>
        <w:tc>
          <w:tcPr>
            <w:tcW w:w="1213"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0-4.75mm</w:t>
            </w:r>
          </w:p>
        </w:tc>
        <w:tc>
          <w:tcPr>
            <w:tcW w:w="701" w:type="dxa"/>
            <w:noWrap w:val="0"/>
            <w:vAlign w:val="center"/>
          </w:tcPr>
          <w:p>
            <w:pPr>
              <w:widowControl/>
              <w:jc w:val="center"/>
              <w:rPr>
                <w:color w:val="auto"/>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80000</w:t>
            </w:r>
          </w:p>
        </w:tc>
        <w:tc>
          <w:tcPr>
            <w:tcW w:w="1710" w:type="dxa"/>
            <w:vMerge w:val="restart"/>
            <w:noWrap w:val="0"/>
            <w:vAlign w:val="top"/>
          </w:tcPr>
          <w:p>
            <w:pPr>
              <w:widowControl/>
              <w:jc w:val="center"/>
              <w:rPr>
                <w:rFonts w:hint="eastAsia"/>
                <w:color w:val="auto"/>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r>
              <w:rPr>
                <w:rFonts w:ascii="楷体" w:hAnsi="楷体" w:eastAsia="楷体" w:cs="楷体"/>
                <w:color w:val="auto"/>
                <w:szCs w:val="21"/>
              </w:rPr>
              <w:t>场站、便道及结构物使用，及垫层、底基层、水稳层使用</w:t>
            </w:r>
          </w:p>
        </w:tc>
        <w:tc>
          <w:tcPr>
            <w:tcW w:w="1530" w:type="dxa"/>
            <w:noWrap w:val="0"/>
            <w:vAlign w:val="top"/>
          </w:tcPr>
          <w:p>
            <w:pPr>
              <w:widowControl/>
              <w:jc w:val="center"/>
              <w:rPr>
                <w:rFonts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4.75mm-9.5mm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8000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6000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26000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9.5mm-19mm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11000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7000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26000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19mm-31.5mm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26300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21000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82000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石灰岩普通机制砂</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0-4.75mm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26600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color w:val="auto"/>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19500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小计</w:t>
            </w:r>
          </w:p>
        </w:tc>
        <w:tc>
          <w:tcPr>
            <w:tcW w:w="1529" w:type="dxa"/>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color w:val="auto"/>
              </w:rPr>
            </w:pPr>
          </w:p>
        </w:tc>
        <w:tc>
          <w:tcPr>
            <w:tcW w:w="938" w:type="dxa"/>
            <w:noWrap w:val="0"/>
            <w:vAlign w:val="center"/>
          </w:tcPr>
          <w:p>
            <w:pPr>
              <w:pStyle w:val="2"/>
              <w:ind w:left="0" w:leftChars="0"/>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339400</w:t>
            </w:r>
          </w:p>
        </w:tc>
        <w:tc>
          <w:tcPr>
            <w:tcW w:w="1710" w:type="dxa"/>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restart"/>
            <w:noWrap w:val="0"/>
            <w:vAlign w:val="top"/>
          </w:tcPr>
          <w:p>
            <w:pPr>
              <w:widowControl/>
              <w:jc w:val="center"/>
              <w:rPr>
                <w:rFonts w:hint="eastAsia"/>
                <w:color w:val="auto"/>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ascii="楷体" w:hAnsi="楷体" w:eastAsia="楷体" w:cs="楷体"/>
                <w:color w:val="auto"/>
                <w:szCs w:val="21"/>
              </w:rPr>
            </w:pPr>
            <w:r>
              <w:rPr>
                <w:rFonts w:hint="eastAsia" w:ascii="楷体" w:hAnsi="楷体" w:eastAsia="楷体" w:cs="楷体"/>
                <w:color w:val="auto"/>
                <w:szCs w:val="21"/>
              </w:rPr>
              <w:t>NZ1-2</w:t>
            </w:r>
          </w:p>
        </w:tc>
        <w:tc>
          <w:tcPr>
            <w:tcW w:w="1213"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0-4.75mm</w:t>
            </w:r>
          </w:p>
        </w:tc>
        <w:tc>
          <w:tcPr>
            <w:tcW w:w="701" w:type="dxa"/>
            <w:noWrap w:val="0"/>
            <w:vAlign w:val="center"/>
          </w:tcPr>
          <w:p>
            <w:pPr>
              <w:widowControl/>
              <w:jc w:val="center"/>
              <w:rPr>
                <w:rFonts w:hint="eastAsia"/>
                <w:color w:val="auto"/>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82000</w:t>
            </w:r>
          </w:p>
        </w:tc>
        <w:tc>
          <w:tcPr>
            <w:tcW w:w="1710" w:type="dxa"/>
            <w:vMerge w:val="restart"/>
            <w:noWrap w:val="0"/>
            <w:vAlign w:val="top"/>
          </w:tcPr>
          <w:p>
            <w:pPr>
              <w:widowControl/>
              <w:jc w:val="center"/>
              <w:rPr>
                <w:rFonts w:hint="eastAsia"/>
                <w:color w:val="auto"/>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r>
              <w:rPr>
                <w:rFonts w:ascii="楷体" w:hAnsi="楷体" w:eastAsia="楷体" w:cs="楷体"/>
                <w:color w:val="auto"/>
                <w:szCs w:val="21"/>
              </w:rPr>
              <w:t>场站、便道及结构物使用，及垫层、底基层、水稳层使用</w:t>
            </w: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4.75mm-9.5mm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8300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6600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26600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9.5mm-19mm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10000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7400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26600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19mm-31.5mm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22300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20000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80000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石灰岩普通机制砂</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0-4.75mm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33600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color w:val="auto"/>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23500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小计</w:t>
            </w:r>
          </w:p>
        </w:tc>
        <w:tc>
          <w:tcPr>
            <w:tcW w:w="1529" w:type="dxa"/>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color w:val="auto"/>
              </w:rPr>
            </w:pPr>
          </w:p>
        </w:tc>
        <w:tc>
          <w:tcPr>
            <w:tcW w:w="938" w:type="dxa"/>
            <w:noWrap w:val="0"/>
            <w:vAlign w:val="center"/>
          </w:tcPr>
          <w:p>
            <w:pPr>
              <w:pStyle w:val="2"/>
              <w:ind w:left="0" w:leftChars="0"/>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346900</w:t>
            </w:r>
          </w:p>
        </w:tc>
        <w:tc>
          <w:tcPr>
            <w:tcW w:w="1710" w:type="dxa"/>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restart"/>
            <w:noWrap w:val="0"/>
            <w:vAlign w:val="top"/>
          </w:tcPr>
          <w:p>
            <w:pPr>
              <w:widowControl/>
              <w:jc w:val="center"/>
              <w:rPr>
                <w:rFonts w:hint="eastAsia"/>
                <w:color w:val="auto"/>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hint="eastAsia" w:ascii="楷体" w:hAnsi="楷体" w:eastAsia="楷体" w:cs="楷体"/>
                <w:color w:val="auto"/>
                <w:szCs w:val="21"/>
              </w:rPr>
            </w:pPr>
          </w:p>
          <w:p>
            <w:pPr>
              <w:pStyle w:val="2"/>
              <w:rPr>
                <w:rFonts w:ascii="楷体" w:hAnsi="楷体" w:eastAsia="楷体" w:cs="楷体"/>
                <w:color w:val="auto"/>
                <w:szCs w:val="21"/>
              </w:rPr>
            </w:pPr>
            <w:r>
              <w:rPr>
                <w:rFonts w:hint="eastAsia" w:ascii="楷体" w:hAnsi="楷体" w:eastAsia="楷体" w:cs="楷体"/>
                <w:color w:val="auto"/>
                <w:szCs w:val="21"/>
              </w:rPr>
              <w:t>NZ1-3</w:t>
            </w:r>
          </w:p>
        </w:tc>
        <w:tc>
          <w:tcPr>
            <w:tcW w:w="1213"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0-4.75mm</w:t>
            </w:r>
          </w:p>
        </w:tc>
        <w:tc>
          <w:tcPr>
            <w:tcW w:w="701" w:type="dxa"/>
            <w:noWrap w:val="0"/>
            <w:vAlign w:val="center"/>
          </w:tcPr>
          <w:p>
            <w:pPr>
              <w:widowControl/>
              <w:jc w:val="center"/>
              <w:rPr>
                <w:rFonts w:hint="eastAsia"/>
                <w:color w:val="auto"/>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84000</w:t>
            </w:r>
          </w:p>
        </w:tc>
        <w:tc>
          <w:tcPr>
            <w:tcW w:w="1710" w:type="dxa"/>
            <w:vMerge w:val="restart"/>
            <w:noWrap w:val="0"/>
            <w:vAlign w:val="top"/>
          </w:tcPr>
          <w:p>
            <w:pPr>
              <w:widowControl/>
              <w:jc w:val="center"/>
              <w:rPr>
                <w:rFonts w:hint="eastAsia"/>
                <w:color w:val="auto"/>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p>
          <w:p>
            <w:pPr>
              <w:pStyle w:val="4"/>
              <w:ind w:firstLine="0" w:firstLineChars="0"/>
              <w:jc w:val="both"/>
              <w:rPr>
                <w:rFonts w:ascii="楷体" w:hAnsi="楷体" w:eastAsia="楷体" w:cs="楷体"/>
                <w:color w:val="auto"/>
                <w:szCs w:val="21"/>
              </w:rPr>
            </w:pPr>
            <w:r>
              <w:rPr>
                <w:rFonts w:ascii="楷体" w:hAnsi="楷体" w:eastAsia="楷体" w:cs="楷体"/>
                <w:color w:val="auto"/>
                <w:szCs w:val="21"/>
              </w:rPr>
              <w:t>场站、便道及结构物使用，及垫层、底基层、水稳层使用</w:t>
            </w: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4.75mm-9.5mm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8600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7200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27200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9.5mm-19mm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9000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6900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27200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石灰岩碎石</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19mm-31.5mm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21300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19000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78000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南宁某高速路一分部水稳站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石灰岩普通机制砂</w:t>
            </w:r>
          </w:p>
        </w:tc>
        <w:tc>
          <w:tcPr>
            <w:tcW w:w="1529" w:type="dxa"/>
            <w:vMerge w:val="restart"/>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0-4.75mm</w:t>
            </w:r>
          </w:p>
        </w:tc>
        <w:tc>
          <w:tcPr>
            <w:tcW w:w="701" w:type="dxa"/>
            <w:noWrap w:val="0"/>
            <w:vAlign w:val="center"/>
          </w:tcPr>
          <w:p>
            <w:pPr>
              <w:widowControl/>
              <w:jc w:val="center"/>
              <w:rPr>
                <w:rFonts w:hint="eastAsia" w:ascii="楷体" w:hAnsi="楷体" w:eastAsia="楷体" w:cs="楷体"/>
                <w:color w:val="auto"/>
                <w:sz w:val="21"/>
                <w:szCs w:val="21"/>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25600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南宁某高速路一分部1#拌合站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vMerge w:val="continue"/>
            <w:noWrap w:val="0"/>
            <w:vAlign w:val="center"/>
          </w:tcPr>
          <w:p>
            <w:pPr>
              <w:widowControl/>
              <w:jc w:val="center"/>
              <w:rPr>
                <w:rFonts w:hint="eastAsia" w:ascii="楷体" w:hAnsi="楷体" w:eastAsia="楷体" w:cs="楷体"/>
                <w:color w:val="auto"/>
                <w:sz w:val="21"/>
                <w:szCs w:val="21"/>
              </w:rPr>
            </w:pPr>
          </w:p>
        </w:tc>
        <w:tc>
          <w:tcPr>
            <w:tcW w:w="1529" w:type="dxa"/>
            <w:vMerge w:val="continue"/>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color w:val="auto"/>
              </w:rPr>
            </w:pPr>
            <w:r>
              <w:rPr>
                <w:rFonts w:hint="eastAsia"/>
                <w:color w:val="auto"/>
              </w:rPr>
              <w:t>m³</w:t>
            </w:r>
          </w:p>
        </w:tc>
        <w:tc>
          <w:tcPr>
            <w:tcW w:w="938" w:type="dxa"/>
            <w:noWrap w:val="0"/>
            <w:vAlign w:val="center"/>
          </w:tcPr>
          <w:p>
            <w:pPr>
              <w:keepNext w:val="0"/>
              <w:keepLines w:val="0"/>
              <w:widowControl/>
              <w:suppressLineNumbers w:val="0"/>
              <w:jc w:val="center"/>
              <w:textAlignment w:val="center"/>
              <w:rPr>
                <w:rFonts w:hint="eastAsia" w:ascii="楷体" w:hAnsi="楷体" w:eastAsia="楷体" w:cs="楷体"/>
                <w:color w:val="auto"/>
                <w:sz w:val="21"/>
                <w:szCs w:val="21"/>
              </w:rPr>
            </w:pPr>
            <w:r>
              <w:rPr>
                <w:rFonts w:hint="eastAsia" w:ascii="楷体" w:hAnsi="楷体" w:eastAsia="楷体" w:cs="楷体"/>
                <w:i w:val="0"/>
                <w:color w:val="auto"/>
                <w:kern w:val="0"/>
                <w:sz w:val="21"/>
                <w:szCs w:val="21"/>
                <w:u w:val="none"/>
                <w:lang w:val="en-US" w:eastAsia="zh-CN" w:bidi="ar"/>
              </w:rPr>
              <w:t>18500</w:t>
            </w:r>
          </w:p>
        </w:tc>
        <w:tc>
          <w:tcPr>
            <w:tcW w:w="1710" w:type="dxa"/>
            <w:vMerge w:val="continue"/>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南宁某高速路一分部2#拌合站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1" w:type="dxa"/>
            <w:vMerge w:val="continue"/>
            <w:noWrap w:val="0"/>
            <w:vAlign w:val="top"/>
          </w:tcPr>
          <w:p>
            <w:pPr>
              <w:widowControl/>
              <w:jc w:val="center"/>
              <w:rPr>
                <w:rFonts w:hint="eastAsia" w:ascii="楷体" w:hAnsi="楷体" w:eastAsia="楷体" w:cs="楷体"/>
                <w:color w:val="auto"/>
                <w:sz w:val="21"/>
                <w:szCs w:val="21"/>
              </w:rPr>
            </w:pPr>
          </w:p>
        </w:tc>
        <w:tc>
          <w:tcPr>
            <w:tcW w:w="1213" w:type="dxa"/>
            <w:noWrap w:val="0"/>
            <w:vAlign w:val="center"/>
          </w:tcPr>
          <w:p>
            <w:pPr>
              <w:widowControl/>
              <w:jc w:val="center"/>
              <w:rPr>
                <w:rFonts w:hint="eastAsia" w:ascii="楷体" w:hAnsi="楷体" w:eastAsia="楷体" w:cs="楷体"/>
                <w:color w:val="auto"/>
                <w:sz w:val="21"/>
                <w:szCs w:val="21"/>
              </w:rPr>
            </w:pPr>
            <w:r>
              <w:rPr>
                <w:rFonts w:hint="eastAsia" w:ascii="楷体" w:hAnsi="楷体" w:eastAsia="楷体" w:cs="楷体"/>
                <w:color w:val="auto"/>
                <w:sz w:val="21"/>
                <w:szCs w:val="21"/>
              </w:rPr>
              <w:t>小计</w:t>
            </w:r>
          </w:p>
        </w:tc>
        <w:tc>
          <w:tcPr>
            <w:tcW w:w="1529" w:type="dxa"/>
            <w:noWrap w:val="0"/>
            <w:vAlign w:val="center"/>
          </w:tcPr>
          <w:p>
            <w:pPr>
              <w:widowControl/>
              <w:jc w:val="center"/>
              <w:rPr>
                <w:rFonts w:hint="eastAsia" w:ascii="楷体" w:hAnsi="楷体" w:eastAsia="楷体" w:cs="楷体"/>
                <w:color w:val="auto"/>
                <w:sz w:val="21"/>
                <w:szCs w:val="21"/>
              </w:rPr>
            </w:pPr>
          </w:p>
        </w:tc>
        <w:tc>
          <w:tcPr>
            <w:tcW w:w="701" w:type="dxa"/>
            <w:noWrap w:val="0"/>
            <w:vAlign w:val="center"/>
          </w:tcPr>
          <w:p>
            <w:pPr>
              <w:widowControl/>
              <w:jc w:val="center"/>
              <w:rPr>
                <w:rFonts w:hint="eastAsia"/>
                <w:color w:val="auto"/>
              </w:rPr>
            </w:pPr>
          </w:p>
        </w:tc>
        <w:tc>
          <w:tcPr>
            <w:tcW w:w="938" w:type="dxa"/>
            <w:noWrap w:val="0"/>
            <w:vAlign w:val="center"/>
          </w:tcPr>
          <w:p>
            <w:pPr>
              <w:pStyle w:val="2"/>
              <w:ind w:left="0" w:leftChars="0"/>
              <w:rPr>
                <w:rFonts w:hint="default" w:ascii="楷体" w:hAnsi="楷体" w:eastAsia="楷体" w:cs="楷体"/>
                <w:color w:val="auto"/>
                <w:szCs w:val="21"/>
                <w:lang w:val="en-US" w:eastAsia="zh-CN"/>
              </w:rPr>
            </w:pPr>
            <w:r>
              <w:rPr>
                <w:rFonts w:hint="eastAsia" w:ascii="楷体" w:hAnsi="楷体" w:eastAsia="楷体" w:cs="楷体"/>
                <w:color w:val="auto"/>
                <w:szCs w:val="21"/>
              </w:rPr>
              <w:t>33</w:t>
            </w:r>
            <w:r>
              <w:rPr>
                <w:rFonts w:hint="eastAsia" w:ascii="楷体" w:hAnsi="楷体" w:eastAsia="楷体" w:cs="楷体"/>
                <w:color w:val="auto"/>
                <w:szCs w:val="21"/>
                <w:lang w:val="en-US" w:eastAsia="zh-CN"/>
              </w:rPr>
              <w:t>2500</w:t>
            </w:r>
          </w:p>
        </w:tc>
        <w:tc>
          <w:tcPr>
            <w:tcW w:w="1710" w:type="dxa"/>
            <w:noWrap w:val="0"/>
            <w:vAlign w:val="top"/>
          </w:tcPr>
          <w:p>
            <w:pPr>
              <w:widowControl/>
              <w:jc w:val="center"/>
              <w:rPr>
                <w:rFonts w:hint="eastAsia" w:ascii="楷体" w:hAnsi="楷体" w:eastAsia="楷体" w:cs="楷体"/>
                <w:color w:val="auto"/>
                <w:sz w:val="21"/>
                <w:szCs w:val="21"/>
              </w:rPr>
            </w:pPr>
          </w:p>
        </w:tc>
        <w:tc>
          <w:tcPr>
            <w:tcW w:w="1530" w:type="dxa"/>
            <w:noWrap w:val="0"/>
            <w:vAlign w:val="top"/>
          </w:tcPr>
          <w:p>
            <w:pPr>
              <w:widowControl/>
              <w:jc w:val="center"/>
              <w:rPr>
                <w:rFonts w:hint="eastAsia" w:ascii="楷体" w:hAnsi="楷体" w:eastAsia="楷体" w:cs="楷体"/>
                <w:color w:val="auto"/>
                <w:sz w:val="21"/>
                <w:szCs w:val="21"/>
              </w:rPr>
            </w:pPr>
          </w:p>
        </w:tc>
      </w:tr>
    </w:tbl>
    <w:p>
      <w:pPr>
        <w:widowControl/>
        <w:numPr>
          <w:ilvl w:val="0"/>
          <w:numId w:val="1"/>
        </w:numPr>
        <w:topLinePunct/>
        <w:spacing w:line="360" w:lineRule="auto"/>
        <w:ind w:right="370" w:rightChars="154" w:firstLine="480" w:firstLineChars="200"/>
        <w:jc w:val="both"/>
        <w:rPr>
          <w:rFonts w:hint="eastAsia" w:ascii="楷体" w:hAnsi="楷体" w:eastAsia="楷体"/>
        </w:rPr>
      </w:pPr>
      <w:r>
        <w:rPr>
          <w:rFonts w:hint="eastAsia" w:ascii="楷体" w:hAnsi="楷体" w:eastAsia="楷体"/>
          <w:color w:val="auto"/>
        </w:rPr>
        <w:t>质量与技术要求</w:t>
      </w:r>
    </w:p>
    <w:p>
      <w:pPr>
        <w:widowControl/>
        <w:numPr>
          <w:ilvl w:val="0"/>
          <w:numId w:val="2"/>
        </w:numPr>
        <w:topLinePunct/>
        <w:spacing w:line="360" w:lineRule="auto"/>
        <w:ind w:right="370" w:rightChars="154" w:firstLine="480" w:firstLineChars="200"/>
        <w:jc w:val="both"/>
        <w:rPr>
          <w:rFonts w:hint="eastAsia" w:ascii="楷体" w:hAnsi="楷体" w:eastAsia="楷体"/>
        </w:rPr>
      </w:pPr>
      <w:r>
        <w:rPr>
          <w:rFonts w:hint="eastAsia" w:ascii="楷体" w:hAnsi="楷体" w:eastAsia="楷体"/>
        </w:rPr>
        <w:t>质量要求：本次招标的碎石、机制砂应洁净、坚硬、干燥、无风化、无杂质和其他有害物质，其颗粒形状应具有棱角，近似立方体，具有足够的强度、耐磨耗性，其质量必须符合《公路桥涵施工技术规范》（JTG /T3650-2020）、《公路工程水泥混凝土用机制砂》（JT/T819-2011）、《机制砂及机制砂混凝土应用技术规范》（DB45 T 1621-2017）及本项目公路业主和总监办要求、国家相关标准及项目业主对砂石生产的质量相关规定。</w:t>
      </w:r>
    </w:p>
    <w:p>
      <w:pPr>
        <w:widowControl/>
        <w:topLinePunct/>
        <w:spacing w:line="360" w:lineRule="auto"/>
        <w:ind w:right="370" w:rightChars="154" w:firstLine="480" w:firstLineChars="200"/>
        <w:jc w:val="both"/>
        <w:rPr>
          <w:rFonts w:hint="eastAsia"/>
        </w:rPr>
      </w:pPr>
      <w:r>
        <w:rPr>
          <w:rFonts w:hint="eastAsia" w:ascii="楷体" w:hAnsi="楷体" w:eastAsia="楷体"/>
        </w:rPr>
        <w:t>（2）技术要求：</w:t>
      </w:r>
    </w:p>
    <w:tbl>
      <w:tblPr>
        <w:tblStyle w:val="7"/>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1540"/>
        <w:gridCol w:w="2141"/>
        <w:gridCol w:w="2826"/>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序号</w:t>
            </w:r>
          </w:p>
        </w:tc>
        <w:tc>
          <w:tcPr>
            <w:tcW w:w="1540"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材料名称</w:t>
            </w: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项目</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技术要求</w:t>
            </w:r>
          </w:p>
        </w:tc>
        <w:tc>
          <w:tcPr>
            <w:tcW w:w="80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1</w:t>
            </w:r>
          </w:p>
        </w:tc>
        <w:tc>
          <w:tcPr>
            <w:tcW w:w="1540" w:type="dxa"/>
            <w:vMerge w:val="restart"/>
            <w:noWrap w:val="0"/>
            <w:vAlign w:val="center"/>
          </w:tcPr>
          <w:p>
            <w:pPr>
              <w:pStyle w:val="9"/>
              <w:spacing w:line="360" w:lineRule="auto"/>
              <w:rPr>
                <w:rFonts w:hint="eastAsia" w:ascii="楷体" w:hAnsi="楷体" w:eastAsia="楷体" w:cs="楷体"/>
              </w:rPr>
            </w:pPr>
            <w:r>
              <w:rPr>
                <w:rFonts w:hint="eastAsia" w:ascii="楷体" w:hAnsi="楷体" w:eastAsia="楷体" w:cs="楷体"/>
              </w:rPr>
              <w:t>砼使用碎石</w:t>
            </w: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压碎值指标%</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Ⅱ类≤20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2</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含泥量%</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 xml:space="preserve"> Ⅱ类≤1.0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3</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针片状颗粒总含量%</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Ⅱ类≤10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4</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连续级配松散堆积空隙率%</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Ⅱ类≤45</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1</w:t>
            </w:r>
          </w:p>
        </w:tc>
        <w:tc>
          <w:tcPr>
            <w:tcW w:w="1540" w:type="dxa"/>
            <w:vMerge w:val="restart"/>
            <w:noWrap w:val="0"/>
            <w:vAlign w:val="center"/>
          </w:tcPr>
          <w:p>
            <w:pPr>
              <w:pStyle w:val="9"/>
              <w:spacing w:line="360" w:lineRule="auto"/>
              <w:rPr>
                <w:rFonts w:hint="eastAsia" w:ascii="楷体" w:hAnsi="楷体" w:eastAsia="楷体" w:cs="楷体"/>
              </w:rPr>
            </w:pPr>
            <w:r>
              <w:rPr>
                <w:rFonts w:hint="eastAsia" w:ascii="楷体" w:hAnsi="楷体" w:eastAsia="楷体" w:cs="楷体"/>
              </w:rPr>
              <w:t>垫层、底基层及基层使用碎石</w:t>
            </w: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压碎值指标%</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Ⅱ类≤26</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2</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含泥量%</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 xml:space="preserve"> Ⅱ类≤2.0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3</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针片状颗粒总含量%</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Ⅱ类≤20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4</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连续级配松散堆积空隙率%</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Ⅱ类≤45</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1</w:t>
            </w:r>
          </w:p>
        </w:tc>
        <w:tc>
          <w:tcPr>
            <w:tcW w:w="1540" w:type="dxa"/>
            <w:vMerge w:val="restart"/>
            <w:noWrap w:val="0"/>
            <w:vAlign w:val="center"/>
          </w:tcPr>
          <w:p>
            <w:pPr>
              <w:pStyle w:val="9"/>
              <w:spacing w:line="360" w:lineRule="auto"/>
              <w:rPr>
                <w:rFonts w:hint="eastAsia" w:ascii="楷体" w:hAnsi="楷体" w:eastAsia="楷体" w:cs="楷体"/>
              </w:rPr>
            </w:pPr>
          </w:p>
          <w:p>
            <w:pPr>
              <w:pStyle w:val="9"/>
              <w:spacing w:line="360" w:lineRule="auto"/>
              <w:rPr>
                <w:rFonts w:hint="eastAsia" w:ascii="楷体" w:hAnsi="楷体" w:eastAsia="楷体" w:cs="楷体"/>
              </w:rPr>
            </w:pPr>
          </w:p>
          <w:p>
            <w:pPr>
              <w:pStyle w:val="9"/>
              <w:spacing w:line="360" w:lineRule="auto"/>
              <w:rPr>
                <w:rFonts w:hint="eastAsia" w:ascii="楷体" w:hAnsi="楷体" w:eastAsia="楷体" w:cs="楷体"/>
              </w:rPr>
            </w:pPr>
          </w:p>
          <w:p>
            <w:pPr>
              <w:pStyle w:val="9"/>
              <w:spacing w:line="360" w:lineRule="auto"/>
              <w:rPr>
                <w:rFonts w:hint="eastAsia" w:ascii="楷体" w:hAnsi="楷体" w:eastAsia="楷体" w:cs="楷体"/>
              </w:rPr>
            </w:pPr>
            <w:r>
              <w:rPr>
                <w:rFonts w:hint="eastAsia" w:ascii="楷体" w:hAnsi="楷体" w:eastAsia="楷体" w:cs="楷体"/>
              </w:rPr>
              <w:t>砼使用石灰</w:t>
            </w:r>
            <w:r>
              <w:rPr>
                <w:rFonts w:ascii="楷体" w:hAnsi="楷体" w:eastAsia="楷体" w:cs="楷体"/>
              </w:rPr>
              <w:t>岩</w:t>
            </w:r>
            <w:r>
              <w:rPr>
                <w:rFonts w:hint="eastAsia" w:ascii="楷体" w:hAnsi="楷体" w:eastAsia="楷体" w:cs="楷体"/>
              </w:rPr>
              <w:t>机制砂</w:t>
            </w:r>
          </w:p>
          <w:p>
            <w:pPr>
              <w:pStyle w:val="9"/>
              <w:spacing w:line="360" w:lineRule="auto"/>
              <w:rPr>
                <w:rFonts w:hint="eastAsia" w:ascii="楷体" w:hAnsi="楷体" w:eastAsia="楷体" w:cs="楷体"/>
              </w:rPr>
            </w:pPr>
          </w:p>
          <w:p>
            <w:pPr>
              <w:pStyle w:val="9"/>
              <w:spacing w:line="360" w:lineRule="auto"/>
              <w:rPr>
                <w:rFonts w:hint="eastAsia" w:ascii="楷体" w:hAnsi="楷体" w:eastAsia="楷体" w:cs="楷体"/>
              </w:rPr>
            </w:pPr>
          </w:p>
          <w:p>
            <w:pPr>
              <w:pStyle w:val="9"/>
              <w:spacing w:line="360" w:lineRule="auto"/>
              <w:rPr>
                <w:rFonts w:hint="eastAsia" w:ascii="楷体" w:hAnsi="楷体" w:eastAsia="楷体" w:cs="楷体"/>
              </w:rPr>
            </w:pPr>
          </w:p>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压碎值指标%</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Ⅱ类＜25</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2</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石粉含量%</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 xml:space="preserve"> Ⅱ类＜7.0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3</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泥块含量%</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 xml:space="preserve"> Ⅱ类＜1.0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4</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氯离子含量%</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 xml:space="preserve">  Ⅱ类＜0.02</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5</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空隙率%</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Ⅱ类≤44</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6</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碱集料反应</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经碱集料反应试验后，试件应无裂缝、酥裂、胶体外溢现象，在规定试验龄期的膨胀率应小于0.10%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7</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表观密度（kg/m³）</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≥2500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8</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松散堆积密度（kg/m³）</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≥1400</w:t>
            </w:r>
          </w:p>
        </w:tc>
        <w:tc>
          <w:tcPr>
            <w:tcW w:w="801" w:type="dxa"/>
            <w:noWrap w:val="0"/>
            <w:vAlign w:val="center"/>
          </w:tcPr>
          <w:p>
            <w:pPr>
              <w:pStyle w:val="9"/>
              <w:spacing w:line="360" w:lineRule="auto"/>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7"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9</w:t>
            </w:r>
          </w:p>
        </w:tc>
        <w:tc>
          <w:tcPr>
            <w:tcW w:w="1540" w:type="dxa"/>
            <w:vMerge w:val="continue"/>
            <w:noWrap w:val="0"/>
            <w:vAlign w:val="center"/>
          </w:tcPr>
          <w:p>
            <w:pPr>
              <w:pStyle w:val="9"/>
              <w:spacing w:line="360" w:lineRule="auto"/>
              <w:rPr>
                <w:rFonts w:hint="eastAsia" w:ascii="楷体" w:hAnsi="楷体" w:eastAsia="楷体" w:cs="楷体"/>
              </w:rPr>
            </w:pPr>
          </w:p>
        </w:tc>
        <w:tc>
          <w:tcPr>
            <w:tcW w:w="2141"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细度模数</w:t>
            </w:r>
          </w:p>
        </w:tc>
        <w:tc>
          <w:tcPr>
            <w:tcW w:w="2826" w:type="dxa"/>
            <w:noWrap w:val="0"/>
            <w:vAlign w:val="center"/>
          </w:tcPr>
          <w:p>
            <w:pPr>
              <w:pStyle w:val="9"/>
              <w:spacing w:line="360" w:lineRule="auto"/>
              <w:rPr>
                <w:rFonts w:hint="eastAsia" w:ascii="楷体" w:hAnsi="楷体" w:eastAsia="楷体" w:cs="楷体"/>
              </w:rPr>
            </w:pPr>
            <w:r>
              <w:rPr>
                <w:rFonts w:hint="eastAsia" w:ascii="楷体" w:hAnsi="楷体" w:eastAsia="楷体" w:cs="楷体"/>
              </w:rPr>
              <w:t>2.3-3.0</w:t>
            </w:r>
          </w:p>
        </w:tc>
        <w:tc>
          <w:tcPr>
            <w:tcW w:w="801" w:type="dxa"/>
            <w:noWrap w:val="0"/>
            <w:vAlign w:val="center"/>
          </w:tcPr>
          <w:p>
            <w:pPr>
              <w:pStyle w:val="9"/>
              <w:spacing w:line="360" w:lineRule="auto"/>
              <w:rPr>
                <w:rFonts w:hint="eastAsia" w:ascii="楷体" w:hAnsi="楷体" w:eastAsia="楷体" w:cs="楷体"/>
              </w:rPr>
            </w:pPr>
          </w:p>
        </w:tc>
      </w:tr>
    </w:tbl>
    <w:p>
      <w:pPr>
        <w:autoSpaceDE/>
        <w:autoSpaceDN/>
        <w:spacing w:line="360" w:lineRule="auto"/>
        <w:ind w:right="158" w:rightChars="66"/>
        <w:jc w:val="both"/>
        <w:rPr>
          <w:rFonts w:ascii="楷体" w:hAnsi="楷体" w:eastAsia="楷体"/>
        </w:rPr>
      </w:pPr>
      <w:r>
        <w:rPr>
          <w:rFonts w:hint="eastAsia" w:ascii="楷体" w:hAnsi="楷体" w:eastAsia="楷体"/>
        </w:rPr>
        <w:t>4、碎石、机制砂生产设备的配置及生产工艺要求</w:t>
      </w:r>
    </w:p>
    <w:p>
      <w:pPr>
        <w:autoSpaceDE/>
        <w:autoSpaceDN/>
        <w:spacing w:line="360" w:lineRule="auto"/>
        <w:ind w:right="158" w:rightChars="66" w:firstLine="360" w:firstLineChars="150"/>
        <w:jc w:val="both"/>
        <w:rPr>
          <w:rFonts w:ascii="楷体" w:hAnsi="楷体" w:eastAsia="楷体"/>
          <w:spacing w:val="2"/>
        </w:rPr>
      </w:pPr>
      <w:r>
        <w:rPr>
          <w:rFonts w:hint="eastAsia" w:ascii="楷体" w:hAnsi="楷体" w:eastAsia="楷体"/>
        </w:rPr>
        <w:t>（1）</w:t>
      </w:r>
      <w:r>
        <w:rPr>
          <w:rFonts w:hint="eastAsia" w:ascii="楷体" w:hAnsi="楷体" w:eastAsia="楷体"/>
          <w:spacing w:val="2"/>
        </w:rPr>
        <w:t>加工碎石的设备配置及生产工艺应满足以下要求：喂料口处设带振动的条形筛孔，用于过滤泥土、针片状块石；加工设备采用二级及以上的破碎组合方式，一级破碎使用进料口大于</w:t>
      </w:r>
      <w:r>
        <w:rPr>
          <w:rFonts w:ascii="楷体" w:hAnsi="楷体" w:eastAsia="楷体"/>
          <w:spacing w:val="2"/>
        </w:rPr>
        <w:t>900</w:t>
      </w:r>
      <w:r>
        <w:rPr>
          <w:rFonts w:hint="eastAsia" w:ascii="楷体" w:hAnsi="楷体" w:eastAsia="楷体"/>
          <w:spacing w:val="2"/>
        </w:rPr>
        <w:t>×</w:t>
      </w:r>
      <w:r>
        <w:rPr>
          <w:rFonts w:ascii="楷体" w:hAnsi="楷体" w:eastAsia="楷体"/>
          <w:spacing w:val="2"/>
        </w:rPr>
        <w:t>1200mm</w:t>
      </w:r>
      <w:r>
        <w:rPr>
          <w:rFonts w:hint="eastAsia" w:ascii="楷体" w:hAnsi="楷体" w:eastAsia="楷体"/>
          <w:spacing w:val="2"/>
        </w:rPr>
        <w:t>的鄂式破碎机或重锤式破碎机，二级（或三级）破碎使用反击式或圆锥破碎机，其设备型号的选择应满足产量的要求；配置多组三层及以上的大面积振动筛及石料输送系统，满足同时对多档石料（石粉）的筛分与输送。碎石加工场、料场等的投料器均配备防尘设备。</w:t>
      </w:r>
    </w:p>
    <w:p>
      <w:pPr>
        <w:autoSpaceDE/>
        <w:autoSpaceDN/>
        <w:spacing w:line="360" w:lineRule="auto"/>
        <w:ind w:right="158" w:rightChars="66" w:firstLine="480" w:firstLineChars="200"/>
        <w:jc w:val="both"/>
        <w:rPr>
          <w:rFonts w:ascii="楷体" w:hAnsi="楷体" w:eastAsia="楷体"/>
        </w:rPr>
      </w:pPr>
      <w:r>
        <w:rPr>
          <w:rFonts w:hint="eastAsia" w:ascii="楷体" w:hAnsi="楷体" w:eastAsia="楷体"/>
        </w:rPr>
        <w:t>（</w:t>
      </w:r>
      <w:r>
        <w:rPr>
          <w:rFonts w:ascii="楷体" w:hAnsi="楷体" w:eastAsia="楷体"/>
        </w:rPr>
        <w:t>2</w:t>
      </w:r>
      <w:r>
        <w:rPr>
          <w:rFonts w:hint="eastAsia" w:ascii="楷体" w:hAnsi="楷体" w:eastAsia="楷体"/>
        </w:rPr>
        <w:t>）用于加工桥涵结构物用普通机制砂破碎生产线，在满足上述要求外，机制砂生产采用粗碎、中碎、细碎三级破碎工艺，即必须采用碎石的破碎生产线生产的碎石（粒经</w:t>
      </w:r>
      <w:r>
        <w:rPr>
          <w:rFonts w:ascii="楷体" w:hAnsi="楷体" w:eastAsia="楷体"/>
        </w:rPr>
        <w:t>5mm</w:t>
      </w:r>
      <w:r>
        <w:rPr>
          <w:rFonts w:hint="eastAsia" w:ascii="楷体" w:hAnsi="楷体" w:eastAsia="楷体"/>
        </w:rPr>
        <w:t>以上）作为机制砂的生产原料。</w:t>
      </w:r>
    </w:p>
    <w:p>
      <w:pPr>
        <w:widowControl/>
        <w:topLinePunct/>
        <w:spacing w:line="360" w:lineRule="auto"/>
        <w:ind w:right="370" w:rightChars="154" w:firstLine="480" w:firstLineChars="200"/>
        <w:jc w:val="both"/>
        <w:rPr>
          <w:rFonts w:ascii="楷体" w:hAnsi="楷体" w:eastAsia="楷体"/>
          <w:color w:val="auto"/>
        </w:rPr>
      </w:pPr>
      <w:bookmarkStart w:id="3" w:name="_GoBack"/>
      <w:bookmarkEnd w:id="3"/>
      <w:r>
        <w:rPr>
          <w:rFonts w:ascii="楷体" w:hAnsi="楷体" w:eastAsia="楷体"/>
          <w:color w:val="auto"/>
        </w:rPr>
        <w:t>5</w:t>
      </w:r>
      <w:r>
        <w:rPr>
          <w:rFonts w:hint="eastAsia" w:ascii="楷体" w:hAnsi="楷体" w:eastAsia="楷体"/>
          <w:color w:val="auto"/>
        </w:rPr>
        <w:t>、交货</w:t>
      </w:r>
      <w:r>
        <w:rPr>
          <w:rFonts w:ascii="楷体" w:hAnsi="楷体" w:eastAsia="楷体"/>
          <w:color w:val="auto"/>
        </w:rPr>
        <w:t>期</w:t>
      </w:r>
      <w:r>
        <w:rPr>
          <w:rFonts w:hint="eastAsia" w:ascii="楷体" w:hAnsi="楷体" w:eastAsia="楷体"/>
          <w:color w:val="auto"/>
        </w:rPr>
        <w:t>：202</w:t>
      </w:r>
      <w:r>
        <w:rPr>
          <w:rFonts w:hint="eastAsia" w:ascii="楷体" w:hAnsi="楷体" w:eastAsia="楷体"/>
          <w:color w:val="auto"/>
          <w:lang w:val="en-US" w:eastAsia="zh-CN"/>
        </w:rPr>
        <w:t>1</w:t>
      </w:r>
      <w:r>
        <w:rPr>
          <w:rFonts w:hint="eastAsia" w:ascii="楷体" w:hAnsi="楷体" w:eastAsia="楷体"/>
          <w:color w:val="auto"/>
        </w:rPr>
        <w:t>年1月至工程施工结束，具体视项目进度而定。</w:t>
      </w:r>
    </w:p>
    <w:p>
      <w:pPr>
        <w:spacing w:line="360" w:lineRule="auto"/>
        <w:ind w:firstLine="480" w:firstLineChars="200"/>
        <w:rPr>
          <w:rFonts w:hint="eastAsia" w:ascii="楷体" w:hAnsi="楷体" w:eastAsia="楷体" w:cs="楷体"/>
          <w:color w:val="auto"/>
        </w:rPr>
      </w:pPr>
      <w:bookmarkStart w:id="2" w:name="_Toc4422"/>
      <w:r>
        <w:rPr>
          <w:rFonts w:hint="eastAsia" w:ascii="楷体" w:hAnsi="楷体" w:eastAsia="楷体" w:cs="楷体"/>
          <w:color w:val="auto"/>
        </w:rPr>
        <w:t>二、投标人资格要求</w:t>
      </w:r>
      <w:bookmarkEnd w:id="2"/>
    </w:p>
    <w:p>
      <w:pPr>
        <w:tabs>
          <w:tab w:val="left" w:pos="272"/>
        </w:tabs>
        <w:spacing w:line="360" w:lineRule="auto"/>
        <w:ind w:firstLine="480" w:firstLineChars="200"/>
        <w:rPr>
          <w:rFonts w:ascii="楷体" w:hAnsi="楷体" w:eastAsia="楷体"/>
          <w:color w:val="auto"/>
        </w:rPr>
      </w:pPr>
      <w:r>
        <w:rPr>
          <w:rFonts w:ascii="楷体" w:hAnsi="楷体" w:eastAsia="楷体"/>
          <w:color w:val="auto"/>
        </w:rPr>
        <w:t>1</w:t>
      </w:r>
      <w:r>
        <w:rPr>
          <w:rFonts w:hint="eastAsia" w:ascii="楷体" w:hAnsi="楷体" w:eastAsia="楷体"/>
          <w:color w:val="auto"/>
        </w:rPr>
        <w:t>、资质要求：</w:t>
      </w:r>
    </w:p>
    <w:p>
      <w:pPr>
        <w:widowControl/>
        <w:wordWrap w:val="0"/>
        <w:topLinePunct/>
        <w:autoSpaceDE/>
        <w:autoSpaceDN/>
        <w:spacing w:line="360" w:lineRule="auto"/>
        <w:ind w:firstLine="480" w:firstLineChars="200"/>
        <w:jc w:val="both"/>
        <w:rPr>
          <w:rFonts w:ascii="楷体" w:hAnsi="楷体" w:eastAsia="楷体"/>
          <w:color w:val="auto"/>
        </w:rPr>
      </w:pPr>
      <w:r>
        <w:rPr>
          <w:rFonts w:hint="eastAsia" w:ascii="楷体" w:hAnsi="楷体" w:eastAsia="楷体"/>
          <w:color w:val="auto"/>
        </w:rPr>
        <w:t>在中国境内依法注册，具有独立法人资格</w:t>
      </w:r>
      <w:r>
        <w:rPr>
          <w:rFonts w:hint="eastAsia" w:ascii="楷体" w:hAnsi="楷体" w:eastAsia="楷体"/>
          <w:b/>
          <w:color w:val="auto"/>
        </w:rPr>
        <w:t>，</w:t>
      </w:r>
      <w:r>
        <w:rPr>
          <w:rFonts w:hint="eastAsia" w:ascii="楷体" w:hAnsi="楷体" w:eastAsia="楷体"/>
          <w:color w:val="auto"/>
        </w:rPr>
        <w:t>具有合法、有效的企业法人营业执照、税务登记证书。投标人为自有石场，或投标人为合法石场授权的唯一供应商，设备配置应满足项目对碎石、机制砂等质量与需求进度的要求。</w:t>
      </w:r>
    </w:p>
    <w:p>
      <w:pPr>
        <w:tabs>
          <w:tab w:val="left" w:pos="272"/>
        </w:tabs>
        <w:spacing w:line="360" w:lineRule="auto"/>
        <w:ind w:firstLine="480" w:firstLineChars="200"/>
        <w:rPr>
          <w:rFonts w:ascii="楷体" w:hAnsi="楷体" w:eastAsia="楷体"/>
          <w:color w:val="auto"/>
        </w:rPr>
      </w:pPr>
      <w:r>
        <w:rPr>
          <w:rFonts w:ascii="楷体" w:hAnsi="楷体" w:eastAsia="楷体"/>
          <w:color w:val="auto"/>
        </w:rPr>
        <w:t>2</w:t>
      </w:r>
      <w:r>
        <w:rPr>
          <w:rFonts w:hint="eastAsia" w:ascii="楷体" w:hAnsi="楷体" w:eastAsia="楷体"/>
          <w:color w:val="auto"/>
        </w:rPr>
        <w:t>、财务要求：</w:t>
      </w:r>
    </w:p>
    <w:p>
      <w:pPr>
        <w:widowControl/>
        <w:topLinePunct/>
        <w:spacing w:line="360" w:lineRule="auto"/>
        <w:ind w:left="514"/>
        <w:jc w:val="both"/>
        <w:rPr>
          <w:rFonts w:ascii="楷体" w:hAnsi="楷体" w:eastAsia="楷体"/>
          <w:color w:val="auto"/>
        </w:rPr>
      </w:pPr>
      <w:r>
        <w:rPr>
          <w:rFonts w:hint="eastAsia" w:ascii="楷体" w:hAnsi="楷体" w:eastAsia="楷体"/>
          <w:color w:val="auto"/>
        </w:rPr>
        <w:t>投标人具有较强经济实力和良好的财务状况，提供近两年财务状况表。</w:t>
      </w:r>
    </w:p>
    <w:p>
      <w:pPr>
        <w:tabs>
          <w:tab w:val="left" w:pos="272"/>
        </w:tabs>
        <w:spacing w:line="360" w:lineRule="auto"/>
        <w:ind w:firstLine="480" w:firstLineChars="200"/>
        <w:rPr>
          <w:rFonts w:ascii="楷体" w:hAnsi="楷体" w:eastAsia="楷体"/>
          <w:color w:val="auto"/>
        </w:rPr>
      </w:pPr>
      <w:r>
        <w:rPr>
          <w:rFonts w:ascii="楷体" w:hAnsi="楷体" w:eastAsia="楷体"/>
          <w:color w:val="auto"/>
        </w:rPr>
        <w:t>3</w:t>
      </w:r>
      <w:r>
        <w:rPr>
          <w:rFonts w:hint="eastAsia" w:ascii="楷体" w:hAnsi="楷体" w:eastAsia="楷体"/>
          <w:color w:val="auto"/>
        </w:rPr>
        <w:t>、业绩要求：</w:t>
      </w:r>
    </w:p>
    <w:p>
      <w:pPr>
        <w:pStyle w:val="6"/>
        <w:shd w:val="clear" w:color="auto" w:fill="FFFFFF"/>
        <w:spacing w:before="0" w:beforeAutospacing="0" w:after="0" w:afterAutospacing="0" w:line="360" w:lineRule="auto"/>
        <w:ind w:firstLine="480" w:firstLineChars="200"/>
        <w:rPr>
          <w:rFonts w:ascii="楷体" w:hAnsi="楷体" w:eastAsia="楷体"/>
          <w:color w:val="auto"/>
        </w:rPr>
      </w:pPr>
      <w:r>
        <w:rPr>
          <w:rFonts w:hint="eastAsia" w:ascii="楷体" w:hAnsi="楷体" w:eastAsia="楷体"/>
          <w:color w:val="auto"/>
        </w:rPr>
        <w:t>近三</w:t>
      </w:r>
      <w:r>
        <w:rPr>
          <w:rFonts w:ascii="楷体" w:hAnsi="楷体" w:eastAsia="楷体"/>
          <w:color w:val="auto"/>
        </w:rPr>
        <w:t>年</w:t>
      </w:r>
      <w:r>
        <w:rPr>
          <w:rFonts w:hint="eastAsia" w:ascii="楷体" w:hAnsi="楷体" w:eastAsia="楷体"/>
          <w:color w:val="auto"/>
        </w:rPr>
        <w:t>具有公路</w:t>
      </w:r>
      <w:r>
        <w:rPr>
          <w:rFonts w:ascii="楷体" w:hAnsi="楷体" w:eastAsia="楷体"/>
          <w:color w:val="auto"/>
        </w:rPr>
        <w:t>建设</w:t>
      </w:r>
      <w:r>
        <w:rPr>
          <w:rFonts w:hint="eastAsia" w:ascii="楷体" w:hAnsi="楷体" w:eastAsia="楷体"/>
          <w:color w:val="auto"/>
        </w:rPr>
        <w:t>项目碎石、机制</w:t>
      </w:r>
      <w:r>
        <w:rPr>
          <w:rFonts w:ascii="楷体" w:hAnsi="楷体" w:eastAsia="楷体"/>
          <w:color w:val="auto"/>
        </w:rPr>
        <w:t>砂等材料</w:t>
      </w:r>
      <w:r>
        <w:rPr>
          <w:rFonts w:hint="eastAsia" w:ascii="楷体" w:hAnsi="楷体" w:eastAsia="楷体"/>
          <w:color w:val="auto"/>
        </w:rPr>
        <w:t>供应工作的经验和业绩。</w:t>
      </w:r>
    </w:p>
    <w:p>
      <w:pPr>
        <w:tabs>
          <w:tab w:val="left" w:pos="272"/>
        </w:tabs>
        <w:spacing w:line="360" w:lineRule="auto"/>
        <w:ind w:firstLine="480" w:firstLineChars="200"/>
        <w:rPr>
          <w:rFonts w:ascii="楷体" w:hAnsi="楷体" w:eastAsia="楷体"/>
          <w:color w:val="auto"/>
        </w:rPr>
      </w:pPr>
      <w:r>
        <w:rPr>
          <w:rFonts w:ascii="楷体" w:hAnsi="楷体" w:eastAsia="楷体"/>
          <w:color w:val="auto"/>
        </w:rPr>
        <w:t>4</w:t>
      </w:r>
      <w:r>
        <w:rPr>
          <w:rFonts w:hint="eastAsia" w:ascii="楷体" w:hAnsi="楷体" w:eastAsia="楷体"/>
          <w:color w:val="auto"/>
        </w:rPr>
        <w:t>、信誉要求：</w:t>
      </w:r>
    </w:p>
    <w:p>
      <w:pPr>
        <w:shd w:val="clear" w:color="auto" w:fill="FFFFFF"/>
        <w:spacing w:line="360" w:lineRule="auto"/>
        <w:ind w:firstLine="480" w:firstLineChars="200"/>
        <w:rPr>
          <w:rFonts w:ascii="楷体" w:hAnsi="楷体" w:eastAsia="楷体"/>
          <w:color w:val="auto"/>
        </w:rPr>
      </w:pPr>
      <w:r>
        <w:rPr>
          <w:rFonts w:hint="eastAsia" w:ascii="楷体" w:hAnsi="楷体" w:eastAsia="楷体"/>
          <w:color w:val="auto"/>
        </w:rPr>
        <w:t>投标人应有较好的商业信誉。工作信誉不佳、有过不良履约记录不能参与报名，均按否决投标处理。</w:t>
      </w:r>
    </w:p>
    <w:p>
      <w:pPr>
        <w:numPr>
          <w:ilvl w:val="0"/>
          <w:numId w:val="3"/>
        </w:numPr>
        <w:tabs>
          <w:tab w:val="left" w:pos="272"/>
        </w:tabs>
        <w:spacing w:line="360" w:lineRule="auto"/>
        <w:ind w:firstLine="480" w:firstLineChars="200"/>
        <w:rPr>
          <w:rFonts w:ascii="楷体" w:hAnsi="楷体" w:eastAsia="楷体"/>
          <w:color w:val="auto"/>
        </w:rPr>
      </w:pPr>
      <w:r>
        <w:rPr>
          <w:rFonts w:hint="eastAsia" w:ascii="楷体" w:hAnsi="楷体" w:eastAsia="楷体"/>
          <w:color w:val="auto"/>
        </w:rPr>
        <w:t>其他要求：</w:t>
      </w:r>
    </w:p>
    <w:p>
      <w:pPr>
        <w:tabs>
          <w:tab w:val="left" w:pos="272"/>
        </w:tabs>
        <w:spacing w:line="360" w:lineRule="auto"/>
        <w:ind w:firstLine="480" w:firstLineChars="200"/>
        <w:rPr>
          <w:rFonts w:ascii="楷体" w:hAnsi="楷体" w:eastAsia="楷体"/>
          <w:color w:val="auto"/>
        </w:rPr>
      </w:pPr>
      <w:r>
        <w:rPr>
          <w:rFonts w:hint="eastAsia" w:ascii="楷体" w:hAnsi="楷体" w:eastAsia="楷体"/>
          <w:color w:val="auto"/>
        </w:rPr>
        <w:t>（</w:t>
      </w:r>
      <w:r>
        <w:rPr>
          <w:rFonts w:ascii="楷体" w:hAnsi="楷体" w:eastAsia="楷体"/>
          <w:color w:val="auto"/>
        </w:rPr>
        <w:t>1</w:t>
      </w:r>
      <w:r>
        <w:rPr>
          <w:rFonts w:hint="eastAsia" w:ascii="楷体" w:hAnsi="楷体" w:eastAsia="楷体"/>
          <w:color w:val="auto"/>
        </w:rPr>
        <w:t>）本次招标不接受联合体投标。</w:t>
      </w:r>
    </w:p>
    <w:p>
      <w:pPr>
        <w:tabs>
          <w:tab w:val="left" w:pos="272"/>
        </w:tabs>
        <w:spacing w:line="360" w:lineRule="auto"/>
        <w:ind w:firstLine="480" w:firstLineChars="200"/>
        <w:rPr>
          <w:rFonts w:hint="eastAsia" w:ascii="楷体" w:hAnsi="楷体" w:eastAsia="楷体" w:cs="楷体"/>
          <w:b/>
          <w:bCs/>
          <w:color w:val="auto"/>
        </w:rPr>
      </w:pPr>
      <w:r>
        <w:rPr>
          <w:rFonts w:hint="eastAsia" w:ascii="楷体" w:hAnsi="楷体" w:eastAsia="楷体"/>
          <w:color w:val="auto"/>
        </w:rPr>
        <w:t>（</w:t>
      </w:r>
      <w:r>
        <w:rPr>
          <w:rFonts w:ascii="楷体" w:hAnsi="楷体" w:eastAsia="楷体"/>
          <w:color w:val="auto"/>
        </w:rPr>
        <w:t>2</w:t>
      </w:r>
      <w:r>
        <w:rPr>
          <w:rFonts w:hint="eastAsia" w:ascii="楷体" w:hAnsi="楷体" w:eastAsia="楷体"/>
          <w:color w:val="auto"/>
        </w:rPr>
        <w:t>）与招标人存在利害关系可能影响招标公正性的法人、其他组织或者个人，不得参加投标。若单位负责人为同一人、或者存在控股、管理关系的不同单位，不得参加同一包件投标，否则按否决其投标处理。</w:t>
      </w:r>
      <w:r>
        <w:rPr>
          <w:rFonts w:hint="eastAsia" w:ascii="楷体" w:hAnsi="楷体" w:eastAsia="楷体" w:cs="楷体"/>
          <w:b/>
          <w:bCs/>
          <w:color w:val="auto"/>
        </w:rPr>
        <w:t xml:space="preserve">　　 </w:t>
      </w:r>
    </w:p>
    <w:p>
      <w:pPr>
        <w:widowControl/>
        <w:spacing w:line="360" w:lineRule="auto"/>
        <w:ind w:firstLine="480" w:firstLineChars="200"/>
        <w:jc w:val="both"/>
        <w:rPr>
          <w:rFonts w:hint="eastAsia" w:ascii="楷体" w:hAnsi="楷体" w:eastAsia="楷体" w:cs="楷体"/>
        </w:rPr>
      </w:pPr>
      <w:r>
        <w:rPr>
          <w:rFonts w:hint="eastAsia" w:ascii="楷体" w:hAnsi="楷体" w:eastAsia="楷体" w:cs="楷体"/>
        </w:rPr>
        <w:t>三、发布通告的媒介</w:t>
      </w:r>
    </w:p>
    <w:p>
      <w:pPr>
        <w:widowControl/>
        <w:spacing w:line="360" w:lineRule="auto"/>
        <w:ind w:firstLine="480" w:firstLineChars="200"/>
        <w:jc w:val="both"/>
        <w:rPr>
          <w:rFonts w:hint="eastAsia" w:ascii="楷体" w:hAnsi="楷体" w:eastAsia="楷体"/>
        </w:rPr>
      </w:pPr>
      <w:r>
        <w:rPr>
          <w:rFonts w:hint="eastAsia" w:ascii="楷体" w:hAnsi="楷体" w:eastAsia="楷体"/>
        </w:rPr>
        <w:t>本次招标将在阿里巴巴广西路建工程集团有限公司物资采购平台网（简称广西路建“采购平台”https://gxljjt.go.1688.com/page/index.htm与广西路建官网、广西路建OA网同时发布招标通告。</w:t>
      </w:r>
    </w:p>
    <w:p>
      <w:pPr>
        <w:spacing w:line="360" w:lineRule="auto"/>
        <w:ind w:firstLine="480" w:firstLineChars="200"/>
        <w:rPr>
          <w:rFonts w:hint="eastAsia" w:ascii="楷体" w:hAnsi="楷体" w:eastAsia="楷体" w:cs="楷体"/>
        </w:rPr>
      </w:pPr>
      <w:r>
        <w:rPr>
          <w:rFonts w:hint="eastAsia" w:ascii="楷体" w:hAnsi="楷体" w:eastAsia="楷体" w:cs="楷体"/>
        </w:rPr>
        <w:t>四、报名方式</w:t>
      </w:r>
    </w:p>
    <w:p>
      <w:pPr>
        <w:widowControl/>
        <w:spacing w:line="360" w:lineRule="auto"/>
        <w:ind w:firstLine="480" w:firstLineChars="200"/>
        <w:jc w:val="both"/>
        <w:rPr>
          <w:rFonts w:hint="eastAsia" w:ascii="楷体" w:hAnsi="楷体" w:eastAsia="楷体"/>
        </w:rPr>
      </w:pPr>
      <w:r>
        <w:rPr>
          <w:rFonts w:hint="eastAsia" w:ascii="楷体" w:hAnsi="楷体" w:eastAsia="楷体"/>
        </w:rPr>
        <w:t>1、报名方式：投标人应按招标通告要求完成广西路建“采购平台”网上报名方为报名成功；</w:t>
      </w:r>
      <w:r>
        <w:rPr>
          <w:rFonts w:hint="eastAsia" w:ascii="楷体" w:hAnsi="楷体" w:eastAsia="楷体"/>
          <w:b/>
          <w:bCs/>
        </w:rPr>
        <w:t>（未注册阿里巴巴采购平台的投标人需先下载《阿里企业采购平台供应商上线免费注册指导手册》自行完成注册，手册详见招标通告附件）</w:t>
      </w:r>
    </w:p>
    <w:p>
      <w:pPr>
        <w:widowControl/>
        <w:autoSpaceDE/>
        <w:autoSpaceDN/>
        <w:adjustRightInd/>
        <w:spacing w:line="360" w:lineRule="auto"/>
        <w:ind w:right="430" w:rightChars="179" w:firstLine="480" w:firstLineChars="200"/>
        <w:rPr>
          <w:rFonts w:hint="eastAsia" w:ascii="楷体" w:hAnsi="楷体" w:eastAsia="楷体"/>
        </w:rPr>
      </w:pPr>
      <w:r>
        <w:rPr>
          <w:rFonts w:hint="eastAsia" w:ascii="楷体" w:hAnsi="楷体" w:eastAsia="楷体"/>
        </w:rPr>
        <w:t>2、报名时间：自通告之日起至2021年01月1</w:t>
      </w:r>
      <w:r>
        <w:rPr>
          <w:rFonts w:hint="eastAsia" w:ascii="楷体" w:hAnsi="楷体" w:eastAsia="楷体"/>
          <w:lang w:val="en-US" w:eastAsia="zh-CN"/>
        </w:rPr>
        <w:t>3</w:t>
      </w:r>
      <w:r>
        <w:rPr>
          <w:rFonts w:hint="eastAsia" w:ascii="楷体" w:hAnsi="楷体" w:eastAsia="楷体"/>
        </w:rPr>
        <w:t>日17时30分前</w:t>
      </w:r>
    </w:p>
    <w:p>
      <w:pPr>
        <w:widowControl/>
        <w:autoSpaceDE/>
        <w:autoSpaceDN/>
        <w:adjustRightInd/>
        <w:spacing w:line="360" w:lineRule="auto"/>
        <w:ind w:right="430" w:rightChars="179" w:firstLine="480" w:firstLineChars="200"/>
        <w:rPr>
          <w:rFonts w:hint="eastAsia" w:ascii="楷体" w:hAnsi="楷体" w:eastAsia="楷体"/>
        </w:rPr>
      </w:pPr>
      <w:r>
        <w:rPr>
          <w:rFonts w:hint="eastAsia" w:ascii="楷体" w:hAnsi="楷体" w:eastAsia="楷体"/>
        </w:rPr>
        <w:t>3、报名网址：广西路建“采购平台”https://gxljjt.go.1688.com/page/index.htm</w:t>
      </w:r>
    </w:p>
    <w:p>
      <w:pPr>
        <w:widowControl/>
        <w:spacing w:line="360" w:lineRule="auto"/>
        <w:ind w:firstLine="480" w:firstLineChars="200"/>
        <w:jc w:val="both"/>
        <w:rPr>
          <w:rFonts w:hint="eastAsia" w:ascii="楷体" w:hAnsi="楷体" w:eastAsia="楷体"/>
        </w:rPr>
      </w:pPr>
      <w:r>
        <w:rPr>
          <w:rFonts w:hint="eastAsia" w:ascii="楷体" w:hAnsi="楷体" w:eastAsia="楷体"/>
        </w:rPr>
        <w:t>4、网上报名需上传材料：</w:t>
      </w:r>
      <w:r>
        <w:rPr>
          <w:rFonts w:hint="eastAsia" w:ascii="楷体" w:hAnsi="楷体" w:eastAsia="楷体"/>
          <w:b/>
          <w:bCs/>
          <w:color w:val="auto"/>
        </w:rPr>
        <w:t>企业法人营业执照副本、组织机构代码证、税务登记证、纳税资格证明、法人代表身份</w:t>
      </w:r>
      <w:r>
        <w:rPr>
          <w:rFonts w:ascii="楷体" w:hAnsi="楷体" w:eastAsia="楷体"/>
          <w:b/>
          <w:bCs/>
          <w:color w:val="auto"/>
        </w:rPr>
        <w:t>证明或</w:t>
      </w:r>
      <w:r>
        <w:rPr>
          <w:rFonts w:hint="eastAsia" w:ascii="楷体" w:hAnsi="楷体" w:eastAsia="楷体"/>
          <w:b/>
          <w:bCs/>
          <w:color w:val="auto"/>
        </w:rPr>
        <w:t>授权委托书(附法定代表人身份证及委托代理人身份证复印件)、业绩证明（中标通知书或合同协议书）及</w:t>
      </w:r>
      <w:r>
        <w:rPr>
          <w:rFonts w:ascii="楷体" w:hAnsi="楷体" w:eastAsia="楷体"/>
          <w:b/>
          <w:bCs/>
          <w:color w:val="auto"/>
        </w:rPr>
        <w:t>生产石场</w:t>
      </w:r>
      <w:r>
        <w:rPr>
          <w:rFonts w:hint="eastAsia" w:ascii="楷体" w:hAnsi="楷体" w:eastAsia="楷体"/>
          <w:b/>
          <w:bCs/>
          <w:color w:val="auto"/>
        </w:rPr>
        <w:t>的唯一授权委托书（附</w:t>
      </w:r>
      <w:r>
        <w:rPr>
          <w:rFonts w:ascii="楷体" w:hAnsi="楷体" w:eastAsia="楷体"/>
          <w:b/>
          <w:bCs/>
          <w:color w:val="auto"/>
        </w:rPr>
        <w:t>生产石场的</w:t>
      </w:r>
      <w:r>
        <w:rPr>
          <w:rFonts w:hint="eastAsia" w:ascii="楷体" w:hAnsi="楷体" w:eastAsia="楷体"/>
          <w:b/>
          <w:bCs/>
          <w:color w:val="auto"/>
        </w:rPr>
        <w:t>营业执照复印件）等资料</w:t>
      </w:r>
      <w:r>
        <w:rPr>
          <w:rFonts w:hint="eastAsia" w:ascii="楷体" w:hAnsi="楷体" w:eastAsia="楷体"/>
          <w:color w:val="auto"/>
        </w:rPr>
        <w:t>，</w:t>
      </w:r>
      <w:r>
        <w:rPr>
          <w:rFonts w:hint="eastAsia" w:ascii="楷体" w:hAnsi="楷体" w:eastAsia="楷体"/>
        </w:rPr>
        <w:t>上述所列资料的原件须加盖公章。报名请写明投标意向包件号，经审核合格后，方可下载电子版招标文件。</w:t>
      </w:r>
    </w:p>
    <w:p>
      <w:pPr>
        <w:widowControl/>
        <w:spacing w:line="360" w:lineRule="auto"/>
        <w:ind w:firstLine="480" w:firstLineChars="200"/>
        <w:jc w:val="both"/>
        <w:rPr>
          <w:rFonts w:hint="eastAsia" w:ascii="楷体" w:hAnsi="楷体" w:eastAsia="楷体"/>
        </w:rPr>
      </w:pPr>
      <w:r>
        <w:rPr>
          <w:rFonts w:hint="eastAsia" w:ascii="楷体" w:hAnsi="楷体" w:eastAsia="楷体"/>
        </w:rPr>
        <w:t>5、资格审查：投标报名结束后，招标人统一对投标人进行资格审查，确定通过资格审查的投标人。</w:t>
      </w:r>
    </w:p>
    <w:p>
      <w:pPr>
        <w:spacing w:line="360" w:lineRule="auto"/>
        <w:ind w:firstLine="480" w:firstLineChars="200"/>
        <w:rPr>
          <w:rFonts w:ascii="楷体" w:hAnsi="楷体" w:eastAsia="楷体"/>
        </w:rPr>
      </w:pPr>
      <w:r>
        <w:rPr>
          <w:rFonts w:hint="eastAsia" w:ascii="楷体" w:hAnsi="楷体" w:eastAsia="楷体"/>
        </w:rPr>
        <w:t>五、招标文件的获取</w:t>
      </w:r>
    </w:p>
    <w:p>
      <w:pPr>
        <w:widowControl/>
        <w:spacing w:line="360" w:lineRule="auto"/>
        <w:ind w:firstLine="482" w:firstLineChars="200"/>
        <w:jc w:val="both"/>
        <w:rPr>
          <w:rFonts w:hint="eastAsia" w:ascii="楷体" w:hAnsi="楷体" w:eastAsia="楷体"/>
          <w:b/>
          <w:bCs/>
        </w:rPr>
      </w:pPr>
      <w:r>
        <w:rPr>
          <w:rFonts w:hint="eastAsia" w:ascii="楷体" w:hAnsi="楷体" w:eastAsia="楷体"/>
          <w:b/>
          <w:bCs/>
        </w:rPr>
        <w:t>本次招标文件采用电子版方式发布。对通过资格审查的投标人，招标人授权投标人在广西路建“采购平台”（https://gxljjt.go.1688.com/page/index.htm）下载电子版招标文件。</w:t>
      </w:r>
    </w:p>
    <w:p>
      <w:pPr>
        <w:spacing w:line="360" w:lineRule="auto"/>
        <w:ind w:firstLine="480" w:firstLineChars="200"/>
        <w:rPr>
          <w:rFonts w:hint="eastAsia" w:ascii="楷体" w:hAnsi="楷体" w:eastAsia="楷体"/>
        </w:rPr>
      </w:pPr>
      <w:r>
        <w:rPr>
          <w:rFonts w:hint="eastAsia" w:ascii="楷体" w:hAnsi="楷体" w:eastAsia="楷体"/>
        </w:rPr>
        <w:t>六、投标文件的递交</w:t>
      </w:r>
    </w:p>
    <w:p>
      <w:pPr>
        <w:spacing w:line="360" w:lineRule="auto"/>
        <w:ind w:firstLine="480" w:firstLineChars="200"/>
        <w:jc w:val="both"/>
        <w:rPr>
          <w:rFonts w:hint="eastAsia" w:ascii="楷体" w:hAnsi="楷体" w:eastAsia="楷体"/>
        </w:rPr>
      </w:pPr>
      <w:r>
        <w:rPr>
          <w:rFonts w:hint="eastAsia" w:ascii="楷体" w:hAnsi="楷体" w:eastAsia="楷体"/>
        </w:rPr>
        <w:t>1、递交方式：线上线下均要递交。</w:t>
      </w:r>
    </w:p>
    <w:p>
      <w:pPr>
        <w:spacing w:line="360" w:lineRule="auto"/>
        <w:ind w:firstLine="480" w:firstLineChars="200"/>
        <w:rPr>
          <w:rFonts w:hint="eastAsia" w:ascii="楷体" w:hAnsi="楷体" w:eastAsia="楷体"/>
        </w:rPr>
      </w:pPr>
      <w:r>
        <w:rPr>
          <w:rFonts w:hint="eastAsia" w:ascii="楷体" w:hAnsi="楷体" w:eastAsia="楷体"/>
        </w:rPr>
        <w:t>2、递交地点：</w:t>
      </w:r>
    </w:p>
    <w:p>
      <w:pPr>
        <w:spacing w:line="360" w:lineRule="auto"/>
        <w:ind w:firstLine="480" w:firstLineChars="200"/>
        <w:rPr>
          <w:rFonts w:hint="eastAsia" w:ascii="楷体" w:hAnsi="楷体" w:eastAsia="楷体"/>
        </w:rPr>
      </w:pPr>
      <w:r>
        <w:rPr>
          <w:rFonts w:hint="eastAsia" w:ascii="楷体" w:hAnsi="楷体" w:eastAsia="楷体"/>
        </w:rPr>
        <w:t>（1）线上递交</w:t>
      </w:r>
    </w:p>
    <w:p>
      <w:pPr>
        <w:widowControl/>
        <w:spacing w:line="360" w:lineRule="auto"/>
        <w:ind w:firstLine="482" w:firstLineChars="200"/>
        <w:jc w:val="both"/>
        <w:rPr>
          <w:rFonts w:hint="eastAsia" w:ascii="楷体" w:hAnsi="楷体" w:eastAsia="楷体"/>
          <w:b/>
          <w:bCs/>
        </w:rPr>
      </w:pPr>
      <w:r>
        <w:rPr>
          <w:rFonts w:hint="eastAsia" w:ascii="楷体" w:hAnsi="楷体" w:eastAsia="楷体"/>
          <w:b/>
          <w:bCs/>
        </w:rPr>
        <w:t>广西路建“采购平台”https://gxljjt.go.1688.com/page/index.htm。投标人需对投标文件加密后再上传，待开标时再向招标人提供文件密码开启。</w:t>
      </w:r>
    </w:p>
    <w:p>
      <w:pPr>
        <w:spacing w:line="360" w:lineRule="auto"/>
        <w:ind w:firstLine="480" w:firstLineChars="200"/>
        <w:rPr>
          <w:rFonts w:ascii="楷体" w:hAnsi="楷体" w:eastAsia="楷体"/>
        </w:rPr>
      </w:pPr>
      <w:r>
        <w:rPr>
          <w:rFonts w:hint="eastAsia" w:ascii="楷体" w:hAnsi="楷体" w:eastAsia="楷体"/>
        </w:rPr>
        <w:t>（2）线下递交</w:t>
      </w:r>
    </w:p>
    <w:p>
      <w:pPr>
        <w:widowControl/>
        <w:spacing w:line="360" w:lineRule="auto"/>
        <w:ind w:firstLine="480" w:firstLineChars="200"/>
        <w:jc w:val="both"/>
        <w:rPr>
          <w:rFonts w:hint="eastAsia" w:ascii="楷体" w:hAnsi="楷体" w:eastAsia="楷体"/>
        </w:rPr>
      </w:pPr>
      <w:r>
        <w:rPr>
          <w:rFonts w:hint="eastAsia" w:ascii="楷体" w:hAnsi="楷体" w:eastAsia="楷体"/>
        </w:rPr>
        <w:t>广西路建工程集团有限公司材料管理部（南宁市邕武路1号广西路建工程集团大厦16楼1608室）。</w:t>
      </w:r>
    </w:p>
    <w:p>
      <w:pPr>
        <w:spacing w:line="360" w:lineRule="auto"/>
        <w:rPr>
          <w:rFonts w:hint="eastAsia" w:ascii="楷体" w:hAnsi="楷体" w:eastAsia="楷体"/>
        </w:rPr>
      </w:pPr>
      <w:r>
        <w:rPr>
          <w:rFonts w:hint="eastAsia" w:ascii="楷体" w:hAnsi="楷体" w:eastAsia="楷体"/>
        </w:rPr>
        <w:t xml:space="preserve">  </w:t>
      </w:r>
      <w:r>
        <w:rPr>
          <w:rFonts w:ascii="楷体" w:hAnsi="楷体" w:eastAsia="楷体"/>
        </w:rPr>
        <w:t xml:space="preserve">   </w:t>
      </w:r>
      <w:r>
        <w:rPr>
          <w:rFonts w:hint="eastAsia" w:ascii="楷体" w:hAnsi="楷体" w:eastAsia="楷体"/>
        </w:rPr>
        <w:t>3、逾期网上未上传或线下未递交投标文件的，招标人不予受理。</w:t>
      </w:r>
    </w:p>
    <w:p>
      <w:pPr>
        <w:spacing w:line="360" w:lineRule="auto"/>
        <w:rPr>
          <w:rFonts w:hint="eastAsia" w:ascii="楷体" w:hAnsi="楷体" w:eastAsia="楷体"/>
        </w:rPr>
      </w:pPr>
      <w:r>
        <w:rPr>
          <w:rFonts w:hint="eastAsia" w:ascii="楷体" w:hAnsi="楷体" w:eastAsia="楷体"/>
          <w:b/>
          <w:bCs/>
        </w:rPr>
        <w:t>七、招标工作安排</w:t>
      </w:r>
      <w:r>
        <w:rPr>
          <w:rFonts w:hint="eastAsia" w:ascii="楷体" w:hAnsi="楷体" w:eastAsia="楷体"/>
        </w:rPr>
        <w:t xml:space="preserve"> </w:t>
      </w:r>
    </w:p>
    <w:p>
      <w:pPr>
        <w:spacing w:line="360" w:lineRule="auto"/>
        <w:ind w:firstLine="480" w:firstLineChars="200"/>
        <w:rPr>
          <w:rFonts w:hint="eastAsia" w:ascii="楷体" w:hAnsi="楷体" w:eastAsia="楷体"/>
        </w:rPr>
      </w:pPr>
      <w:r>
        <w:rPr>
          <w:rFonts w:hint="eastAsia" w:ascii="楷体" w:hAnsi="楷体" w:eastAsia="楷体"/>
        </w:rPr>
        <w:t>1、开标地点、时间详见招标文件。</w:t>
      </w:r>
    </w:p>
    <w:p>
      <w:pPr>
        <w:spacing w:line="360" w:lineRule="auto"/>
        <w:ind w:firstLine="480" w:firstLineChars="200"/>
        <w:rPr>
          <w:rFonts w:hint="eastAsia" w:ascii="楷体" w:hAnsi="楷体" w:eastAsia="楷体"/>
        </w:rPr>
      </w:pPr>
      <w:r>
        <w:rPr>
          <w:rFonts w:hint="eastAsia" w:ascii="楷体" w:hAnsi="楷体" w:eastAsia="楷体"/>
        </w:rPr>
        <w:t>2、本项目不统一组织察勘现场及标前会，由投标人自行踏勘。</w:t>
      </w:r>
    </w:p>
    <w:p>
      <w:pPr>
        <w:spacing w:line="360" w:lineRule="auto"/>
        <w:ind w:firstLine="480" w:firstLineChars="200"/>
        <w:rPr>
          <w:rFonts w:hint="eastAsia" w:ascii="楷体" w:hAnsi="楷体" w:eastAsia="楷体"/>
        </w:rPr>
      </w:pPr>
      <w:r>
        <w:rPr>
          <w:rFonts w:hint="eastAsia" w:ascii="楷体" w:hAnsi="楷体" w:eastAsia="楷体"/>
        </w:rPr>
        <w:t>3、投标保证金金额为50000元。投标保证金在合同签订后按规定退还。</w:t>
      </w:r>
    </w:p>
    <w:p>
      <w:pPr>
        <w:spacing w:line="360" w:lineRule="auto"/>
        <w:rPr>
          <w:rFonts w:hint="eastAsia" w:ascii="楷体" w:hAnsi="楷体" w:eastAsia="楷体"/>
          <w:b/>
          <w:bCs/>
        </w:rPr>
      </w:pPr>
      <w:r>
        <w:rPr>
          <w:rFonts w:hint="eastAsia" w:ascii="楷体" w:hAnsi="楷体" w:eastAsia="楷体"/>
          <w:b/>
          <w:bCs/>
        </w:rPr>
        <w:t>八、联系方式</w:t>
      </w:r>
    </w:p>
    <w:p>
      <w:pPr>
        <w:spacing w:line="360" w:lineRule="auto"/>
        <w:ind w:firstLine="480" w:firstLineChars="200"/>
        <w:rPr>
          <w:rFonts w:ascii="楷体" w:hAnsi="楷体" w:eastAsia="楷体"/>
        </w:rPr>
      </w:pPr>
      <w:r>
        <w:rPr>
          <w:rFonts w:hint="eastAsia" w:ascii="楷体" w:hAnsi="楷体" w:eastAsia="楷体"/>
        </w:rPr>
        <w:t>联系人：广西路建工程集团有限公司材料管理部 农先生</w:t>
      </w:r>
    </w:p>
    <w:p>
      <w:pPr>
        <w:spacing w:line="360" w:lineRule="auto"/>
        <w:ind w:firstLine="480" w:firstLineChars="200"/>
        <w:rPr>
          <w:rFonts w:hint="eastAsia" w:ascii="楷体" w:hAnsi="楷体" w:eastAsia="楷体"/>
        </w:rPr>
      </w:pPr>
      <w:r>
        <w:rPr>
          <w:rFonts w:hint="eastAsia" w:ascii="楷体" w:hAnsi="楷体" w:eastAsia="楷体"/>
        </w:rPr>
        <w:t xml:space="preserve">电 话： 0771-2519909 </w:t>
      </w:r>
    </w:p>
    <w:p>
      <w:pPr>
        <w:spacing w:line="360" w:lineRule="auto"/>
        <w:rPr>
          <w:rFonts w:ascii="楷体" w:hAnsi="楷体" w:eastAsia="楷体"/>
        </w:rPr>
      </w:pPr>
    </w:p>
    <w:p>
      <w:pPr>
        <w:spacing w:line="360" w:lineRule="auto"/>
        <w:rPr>
          <w:rFonts w:hint="eastAsia" w:ascii="楷体" w:hAnsi="楷体" w:eastAsia="楷体"/>
        </w:rPr>
      </w:pPr>
      <w:r>
        <w:rPr>
          <w:rFonts w:hint="eastAsia" w:ascii="楷体" w:hAnsi="楷体" w:eastAsia="楷体"/>
        </w:rPr>
        <w:t xml:space="preserve">                                             广西路建工程集团有限公司</w:t>
      </w:r>
    </w:p>
    <w:p>
      <w:pPr>
        <w:widowControl/>
        <w:spacing w:line="360" w:lineRule="auto"/>
        <w:jc w:val="center"/>
        <w:rPr>
          <w:rFonts w:ascii="楷体" w:hAnsi="楷体" w:eastAsia="楷体"/>
        </w:rPr>
      </w:pPr>
      <w:r>
        <w:rPr>
          <w:rFonts w:hint="eastAsia" w:ascii="楷体" w:hAnsi="楷体" w:eastAsia="楷体"/>
        </w:rPr>
        <w:t xml:space="preserve">                                            </w:t>
      </w:r>
      <w:r>
        <w:rPr>
          <w:rFonts w:hint="eastAsia" w:ascii="楷体" w:hAnsi="楷体" w:eastAsia="楷体"/>
          <w:color w:val="FF0000"/>
        </w:rPr>
        <w:t xml:space="preserve"> </w:t>
      </w:r>
      <w:r>
        <w:rPr>
          <w:rFonts w:hint="eastAsia" w:ascii="楷体" w:hAnsi="楷体" w:eastAsia="楷体"/>
        </w:rPr>
        <w:t>二0二</w:t>
      </w:r>
      <w:r>
        <w:rPr>
          <w:rFonts w:hint="eastAsia" w:ascii="楷体" w:hAnsi="楷体" w:eastAsia="楷体"/>
          <w:lang w:eastAsia="zh-CN"/>
        </w:rPr>
        <w:t>一</w:t>
      </w:r>
      <w:r>
        <w:rPr>
          <w:rFonts w:hint="eastAsia" w:ascii="楷体" w:hAnsi="楷体" w:eastAsia="楷体"/>
        </w:rPr>
        <w:t>年</w:t>
      </w:r>
      <w:r>
        <w:rPr>
          <w:rFonts w:hint="eastAsia" w:ascii="楷体" w:hAnsi="楷体" w:eastAsia="楷体"/>
          <w:lang w:eastAsia="zh-CN"/>
        </w:rPr>
        <w:t>元</w:t>
      </w:r>
      <w:r>
        <w:rPr>
          <w:rFonts w:hint="eastAsia" w:ascii="楷体" w:hAnsi="楷体" w:eastAsia="楷体"/>
        </w:rPr>
        <w:t>月</w:t>
      </w:r>
      <w:r>
        <w:rPr>
          <w:rFonts w:hint="eastAsia" w:ascii="楷体" w:hAnsi="楷体" w:eastAsia="楷体"/>
          <w:lang w:eastAsia="zh-CN"/>
        </w:rPr>
        <w:t>八</w:t>
      </w:r>
      <w:r>
        <w:rPr>
          <w:rFonts w:hint="eastAsia" w:ascii="楷体" w:hAnsi="楷体" w:eastAsia="楷体"/>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C4F68"/>
    <w:multiLevelType w:val="multilevel"/>
    <w:tmpl w:val="E99C4F68"/>
    <w:lvl w:ilvl="0" w:tentative="0">
      <w:start w:val="5"/>
      <w:numFmt w:val="decimal"/>
      <w:suff w:val="nothing"/>
      <w:lvlText w:val="%1、"/>
      <w:lvlJc w:val="left"/>
      <w:rPr>
        <w:rFonts w:ascii="Times New Roman" w:hAnsi="Times New Roman" w:eastAsia="宋体"/>
        <w:u w:val="none" w:color="auto"/>
      </w:rPr>
    </w:lvl>
    <w:lvl w:ilvl="1" w:tentative="0">
      <w:start w:val="1"/>
      <w:numFmt w:val="decimal"/>
      <w:lvlText w:val=""/>
      <w:lvlJc w:val="left"/>
      <w:rPr>
        <w:rFonts w:ascii="Times New Roman" w:hAnsi="Times New Roman" w:eastAsia="宋体"/>
        <w:u w:val="none" w:color="auto"/>
      </w:rPr>
    </w:lvl>
    <w:lvl w:ilvl="2" w:tentative="0">
      <w:start w:val="1"/>
      <w:numFmt w:val="decimal"/>
      <w:lvlText w:val=""/>
      <w:lvlJc w:val="left"/>
      <w:rPr>
        <w:rFonts w:ascii="Times New Roman" w:hAnsi="Times New Roman" w:eastAsia="宋体"/>
        <w:u w:val="none" w:color="auto"/>
      </w:rPr>
    </w:lvl>
    <w:lvl w:ilvl="3" w:tentative="0">
      <w:start w:val="1"/>
      <w:numFmt w:val="decimal"/>
      <w:lvlText w:val=""/>
      <w:lvlJc w:val="left"/>
      <w:rPr>
        <w:rFonts w:ascii="Times New Roman" w:hAnsi="Times New Roman" w:eastAsia="宋体"/>
        <w:u w:val="none" w:color="auto"/>
      </w:rPr>
    </w:lvl>
    <w:lvl w:ilvl="4" w:tentative="0">
      <w:start w:val="1"/>
      <w:numFmt w:val="decimal"/>
      <w:lvlText w:val=""/>
      <w:lvlJc w:val="left"/>
      <w:rPr>
        <w:rFonts w:ascii="Times New Roman" w:hAnsi="Times New Roman" w:eastAsia="宋体"/>
        <w:u w:val="none" w:color="auto"/>
      </w:rPr>
    </w:lvl>
    <w:lvl w:ilvl="5" w:tentative="0">
      <w:start w:val="1"/>
      <w:numFmt w:val="decimal"/>
      <w:lvlText w:val=""/>
      <w:lvlJc w:val="left"/>
      <w:rPr>
        <w:rFonts w:ascii="Times New Roman" w:hAnsi="Times New Roman" w:eastAsia="宋体"/>
        <w:u w:val="none" w:color="auto"/>
      </w:rPr>
    </w:lvl>
    <w:lvl w:ilvl="6" w:tentative="0">
      <w:start w:val="1"/>
      <w:numFmt w:val="decimal"/>
      <w:lvlText w:val=""/>
      <w:lvlJc w:val="left"/>
      <w:rPr>
        <w:rFonts w:ascii="Times New Roman" w:hAnsi="Times New Roman" w:eastAsia="宋体"/>
        <w:u w:val="none" w:color="auto"/>
      </w:rPr>
    </w:lvl>
    <w:lvl w:ilvl="7" w:tentative="0">
      <w:start w:val="1"/>
      <w:numFmt w:val="decimal"/>
      <w:lvlText w:val=""/>
      <w:lvlJc w:val="left"/>
      <w:rPr>
        <w:rFonts w:ascii="Times New Roman" w:hAnsi="Times New Roman" w:eastAsia="宋体"/>
        <w:u w:val="none" w:color="auto"/>
      </w:rPr>
    </w:lvl>
    <w:lvl w:ilvl="8" w:tentative="0">
      <w:start w:val="1"/>
      <w:numFmt w:val="decimal"/>
      <w:lvlText w:val=""/>
      <w:lvlJc w:val="left"/>
      <w:rPr>
        <w:rFonts w:ascii="Times New Roman" w:hAnsi="Times New Roman" w:eastAsia="宋体"/>
        <w:u w:val="none" w:color="auto"/>
      </w:rPr>
    </w:lvl>
  </w:abstractNum>
  <w:abstractNum w:abstractNumId="1">
    <w:nsid w:val="1CD1D612"/>
    <w:multiLevelType w:val="singleLevel"/>
    <w:tmpl w:val="1CD1D612"/>
    <w:lvl w:ilvl="0" w:tentative="0">
      <w:start w:val="1"/>
      <w:numFmt w:val="decimal"/>
      <w:suff w:val="nothing"/>
      <w:lvlText w:val="（%1）"/>
      <w:lvlJc w:val="left"/>
    </w:lvl>
  </w:abstractNum>
  <w:abstractNum w:abstractNumId="2">
    <w:nsid w:val="29A72CE3"/>
    <w:multiLevelType w:val="singleLevel"/>
    <w:tmpl w:val="29A72CE3"/>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D3C64"/>
    <w:rsid w:val="340C400D"/>
    <w:rsid w:val="4EF05506"/>
    <w:rsid w:val="59FD1F09"/>
    <w:rsid w:val="743F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ind w:left="100"/>
    </w:pPr>
    <w:rPr>
      <w:rFonts w:ascii="Microsoft JhengHei" w:hAnsi="Microsoft JhengHei" w:eastAsia="Microsoft JhengHei"/>
      <w:sz w:val="21"/>
    </w:rPr>
  </w:style>
  <w:style w:type="paragraph" w:styleId="3">
    <w:name w:val="toc 5"/>
    <w:basedOn w:val="1"/>
    <w:next w:val="1"/>
    <w:qFormat/>
    <w:uiPriority w:val="39"/>
    <w:pPr>
      <w:ind w:left="1120"/>
      <w:jc w:val="left"/>
    </w:pPr>
    <w:rPr>
      <w:sz w:val="18"/>
      <w:szCs w:val="18"/>
    </w:rPr>
  </w:style>
  <w:style w:type="paragraph" w:styleId="4">
    <w:name w:val="Normal Indent"/>
    <w:basedOn w:val="1"/>
    <w:unhideWhenUsed/>
    <w:qFormat/>
    <w:uiPriority w:val="0"/>
    <w:pPr>
      <w:spacing w:before="0" w:beforeLines="0" w:after="0" w:afterLines="0"/>
      <w:ind w:firstLine="420" w:firstLineChars="200"/>
    </w:pPr>
    <w:rPr>
      <w:rFonts w:hint="eastAsia" w:ascii="宋体" w:hAnsi="Arial" w:eastAsia="宋体"/>
      <w:sz w:val="21"/>
    </w:rPr>
  </w:style>
  <w:style w:type="paragraph" w:styleId="5">
    <w:name w:val="footer"/>
    <w:basedOn w:val="1"/>
    <w:unhideWhenUsed/>
    <w:qFormat/>
    <w:uiPriority w:val="99"/>
    <w:pP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pPr>
  </w:style>
  <w:style w:type="paragraph" w:customStyle="1" w:styleId="9">
    <w:name w:val="表格文字"/>
    <w:basedOn w:val="1"/>
    <w:qFormat/>
    <w:uiPriority w:val="0"/>
    <w:pPr>
      <w:spacing w:line="120" w:lineRule="auto"/>
      <w:ind w:firstLine="0" w:firstLineChars="0"/>
      <w:jc w:val="center"/>
    </w:pPr>
    <w:rPr>
      <w:rFonts w:ascii="宋体" w:hAnsi="宋体"/>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2021-01-08T09:38:00Z</dcterms:created>
  <dc:creator>nongchengfan</dc:creator>
  <cp:lastModifiedBy>牧马人</cp:lastModifiedBy>
  <dcterms:modified xsi:type="dcterms:W3CDTF">2021-01-11T00:22:49Z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