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/>
          <w:b/>
          <w:color w:val="auto"/>
          <w:kern w:val="2"/>
          <w:sz w:val="24"/>
          <w:szCs w:val="24"/>
        </w:rPr>
      </w:pPr>
      <w:r>
        <w:rPr>
          <w:rFonts w:hint="eastAsia" w:ascii="楷体" w:hAnsi="楷体" w:eastAsia="楷体"/>
          <w:b/>
          <w:color w:val="auto"/>
          <w:sz w:val="24"/>
          <w:szCs w:val="24"/>
        </w:rPr>
        <w:t xml:space="preserve">1.1 </w:t>
      </w:r>
      <w:r>
        <w:rPr>
          <w:rFonts w:hint="eastAsia" w:ascii="楷体" w:hAnsi="楷体" w:eastAsia="楷体"/>
          <w:b/>
          <w:color w:val="auto"/>
          <w:kern w:val="2"/>
          <w:sz w:val="24"/>
          <w:szCs w:val="24"/>
        </w:rPr>
        <w:t>广西路建工程集团有限公司</w:t>
      </w:r>
      <w:r>
        <w:rPr>
          <w:rFonts w:hint="eastAsia" w:ascii="楷体" w:hAnsi="楷体" w:eastAsia="楷体"/>
          <w:b/>
          <w:color w:val="auto"/>
          <w:kern w:val="2"/>
          <w:sz w:val="24"/>
          <w:szCs w:val="24"/>
          <w:lang w:eastAsia="zh-CN"/>
        </w:rPr>
        <w:t>来宾市某高速路四分部碎石加工</w:t>
      </w:r>
      <w:r>
        <w:rPr>
          <w:rFonts w:hint="eastAsia" w:ascii="楷体" w:hAnsi="楷体" w:eastAsia="楷体"/>
          <w:b/>
          <w:color w:val="auto"/>
          <w:kern w:val="2"/>
          <w:sz w:val="24"/>
          <w:szCs w:val="24"/>
        </w:rPr>
        <w:t>采购招标通告</w:t>
      </w:r>
    </w:p>
    <w:p>
      <w:pPr>
        <w:autoSpaceDE/>
        <w:autoSpaceDN/>
        <w:adjustRightInd/>
        <w:spacing w:line="400" w:lineRule="exact"/>
        <w:ind w:left="612" w:leftChars="255" w:firstLine="4"/>
        <w:jc w:val="center"/>
        <w:rPr>
          <w:rFonts w:hint="eastAsia" w:ascii="楷体" w:hAnsi="楷体" w:eastAsia="楷体"/>
          <w:b/>
          <w:color w:val="auto"/>
          <w:w w:val="66"/>
          <w:kern w:val="2"/>
          <w:sz w:val="24"/>
          <w:szCs w:val="24"/>
        </w:rPr>
      </w:pPr>
    </w:p>
    <w:p>
      <w:pPr>
        <w:autoSpaceDE/>
        <w:autoSpaceDN/>
        <w:adjustRightInd/>
        <w:spacing w:line="400" w:lineRule="exact"/>
        <w:ind w:left="612" w:leftChars="255" w:firstLine="4"/>
        <w:jc w:val="center"/>
        <w:rPr>
          <w:rFonts w:hint="eastAsia" w:ascii="楷体" w:hAnsi="楷体" w:eastAsia="楷体"/>
          <w:b/>
          <w:color w:val="auto"/>
          <w:w w:val="66"/>
          <w:kern w:val="2"/>
          <w:sz w:val="24"/>
          <w:szCs w:val="24"/>
        </w:rPr>
      </w:pPr>
    </w:p>
    <w:p>
      <w:pPr>
        <w:spacing w:line="600" w:lineRule="exact"/>
        <w:ind w:firstLine="524" w:firstLineChars="163"/>
        <w:jc w:val="center"/>
        <w:rPr>
          <w:rFonts w:hint="eastAsia" w:ascii="楷体" w:hAnsi="楷体" w:eastAsia="楷体"/>
          <w:b/>
          <w:color w:val="auto"/>
          <w:sz w:val="32"/>
          <w:szCs w:val="24"/>
        </w:rPr>
      </w:pPr>
      <w:r>
        <w:rPr>
          <w:rFonts w:hint="eastAsia" w:ascii="楷体" w:hAnsi="楷体" w:eastAsia="楷体"/>
          <w:b/>
          <w:color w:val="auto"/>
          <w:sz w:val="32"/>
          <w:szCs w:val="24"/>
        </w:rPr>
        <w:t>广西路建工程集团有限公司</w:t>
      </w:r>
    </w:p>
    <w:p>
      <w:pPr>
        <w:spacing w:line="400" w:lineRule="exact"/>
        <w:ind w:left="612" w:leftChars="255" w:firstLine="4"/>
        <w:jc w:val="center"/>
        <w:rPr>
          <w:rFonts w:hint="eastAsia" w:ascii="楷体" w:hAnsi="楷体" w:eastAsia="楷体"/>
          <w:b/>
          <w:color w:val="auto"/>
          <w:w w:val="66"/>
          <w:sz w:val="32"/>
          <w:szCs w:val="24"/>
        </w:rPr>
      </w:pPr>
      <w:r>
        <w:rPr>
          <w:rFonts w:hint="eastAsia" w:ascii="楷体" w:hAnsi="楷体" w:eastAsia="楷体"/>
          <w:b/>
          <w:color w:val="auto"/>
          <w:w w:val="66"/>
          <w:sz w:val="32"/>
          <w:szCs w:val="24"/>
          <w:lang w:eastAsia="zh-CN"/>
        </w:rPr>
        <w:t>来宾市某高速路四分部碎石加工</w:t>
      </w:r>
      <w:r>
        <w:rPr>
          <w:rFonts w:hint="eastAsia" w:ascii="楷体" w:hAnsi="楷体" w:eastAsia="楷体"/>
          <w:b/>
          <w:color w:val="auto"/>
          <w:w w:val="66"/>
          <w:sz w:val="32"/>
          <w:szCs w:val="24"/>
        </w:rPr>
        <w:t>采购招标通告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因工程施工需要，</w:t>
      </w:r>
      <w:r>
        <w:rPr>
          <w:rFonts w:hint="eastAsia" w:ascii="楷体" w:hAnsi="楷体" w:eastAsia="楷体"/>
          <w:color w:val="auto"/>
          <w:sz w:val="24"/>
          <w:szCs w:val="24"/>
          <w:lang w:eastAsia="zh-CN"/>
        </w:rPr>
        <w:t>来宾市某高速公路四分部</w:t>
      </w:r>
      <w:r>
        <w:rPr>
          <w:rFonts w:hint="eastAsia" w:ascii="楷体" w:hAnsi="楷体" w:eastAsia="楷体"/>
          <w:color w:val="auto"/>
          <w:sz w:val="24"/>
          <w:szCs w:val="24"/>
        </w:rPr>
        <w:t>项目所用的</w:t>
      </w:r>
      <w:r>
        <w:rPr>
          <w:rFonts w:hint="eastAsia" w:ascii="楷体" w:hAnsi="楷体" w:eastAsia="楷体"/>
          <w:color w:val="auto"/>
          <w:sz w:val="24"/>
          <w:szCs w:val="24"/>
          <w:lang w:eastAsia="zh-CN"/>
        </w:rPr>
        <w:t>来宾市某高速路四分部碎石加工</w:t>
      </w:r>
      <w:r>
        <w:rPr>
          <w:rFonts w:hint="eastAsia" w:ascii="楷体" w:hAnsi="楷体" w:eastAsia="楷体"/>
          <w:color w:val="auto"/>
          <w:sz w:val="24"/>
          <w:szCs w:val="24"/>
        </w:rPr>
        <w:t xml:space="preserve">行公开招标采购，现诚邀有实力的生产厂家参加投标，有关事宜通告如下：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0" w:name="_Toc16461"/>
      <w:bookmarkStart w:id="1" w:name="_Toc2066"/>
      <w:r>
        <w:rPr>
          <w:rFonts w:hint="eastAsia" w:ascii="楷体" w:hAnsi="楷体" w:eastAsia="楷体"/>
          <w:b/>
          <w:color w:val="auto"/>
          <w:sz w:val="24"/>
          <w:szCs w:val="24"/>
        </w:rPr>
        <w:t>一、工程项目概况与招标范围</w:t>
      </w:r>
      <w:bookmarkEnd w:id="0"/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1、工程项目概况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Times New Roman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24"/>
          <w:szCs w:val="24"/>
        </w:rPr>
        <w:t>（1）施工现场条件：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Times New Roman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  <w:t>来宾市某高速公路四分部</w:t>
      </w:r>
      <w:r>
        <w:rPr>
          <w:rFonts w:hint="eastAsia" w:ascii="楷体" w:hAnsi="楷体" w:eastAsia="楷体" w:cs="Times New Roman"/>
          <w:color w:val="auto"/>
          <w:sz w:val="24"/>
          <w:szCs w:val="24"/>
        </w:rPr>
        <w:t>主线桩号K70+673.84～K86+000，主线桩号全长15.33km，拟采用100km/h 设计速度，整体式路基宽26米，分离式路基宽13 米，路基长6.635公里，桥梁4.626公里、隧道4.065公里，桥隧比约为56.7%。主要位于来宾市兴宾区良塘镇、合山市北泗镇、岭南镇、忻城县思练镇内。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Times New Roman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24"/>
          <w:szCs w:val="24"/>
        </w:rPr>
        <w:t>（2）交通运输条件：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Times New Roman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24"/>
          <w:szCs w:val="24"/>
        </w:rPr>
        <w:t>本标段地处丘陵地区，多为延绵起伏的山地，沿线谷地多为种植桉树，松树等，外部交通有国道G322、县道X601、乡道140，乡道村路，内部纵横向便道布设较多，施工便道公里数较长。3#碎石加工场全线共设3个水泥拌和站，1个沥青站和1个水稳站。碎石的运输主要通过纵横向的便道和现有外部道路运送到各拌和站。</w:t>
      </w: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eastAsia="宋体"/>
          <w:color w:val="auto"/>
          <w:sz w:val="21"/>
          <w:szCs w:val="24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楷体" w:hAnsi="楷体" w:eastAsia="楷体" w:cs="Times New Roman"/>
          <w:color w:val="auto"/>
          <w:sz w:val="24"/>
          <w:szCs w:val="24"/>
        </w:rPr>
        <w:t>招标范围</w:t>
      </w:r>
    </w:p>
    <w:p>
      <w:pPr>
        <w:pStyle w:val="3"/>
        <w:rPr>
          <w:rFonts w:hint="eastAsia"/>
          <w:color w:val="auto"/>
          <w:lang w:val="en-US" w:eastAsia="zh-CN"/>
        </w:rPr>
      </w:pPr>
    </w:p>
    <w:tbl>
      <w:tblPr>
        <w:tblStyle w:val="7"/>
        <w:tblpPr w:leftFromText="180" w:rightFromText="180" w:vertAnchor="text" w:horzAnchor="page" w:tblpX="1232" w:tblpY="618"/>
        <w:tblOverlap w:val="never"/>
        <w:tblW w:w="100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30"/>
        <w:gridCol w:w="870"/>
        <w:gridCol w:w="1203"/>
        <w:gridCol w:w="1933"/>
        <w:gridCol w:w="682"/>
        <w:gridCol w:w="886"/>
        <w:gridCol w:w="1868"/>
        <w:gridCol w:w="701"/>
        <w:gridCol w:w="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标段号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加工场位置与桩号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使用部位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材料名称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加工数量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交货地点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运距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标段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Ⅰ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3#碎石加工厂K85+700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桥涵、防护、排水工程、换填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19～31.5mm、9.5～19mm、4.75～9.5mm、0～4.75mm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128700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3#拌合站    K83+800左侧800m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7km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普通机制砂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0～4.75mm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21200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未筛分碎石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0～3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0mm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主线沿线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0km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未筛分碎石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100mm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0km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未筛分碎石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150mm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0km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路面垫层、底基层、基层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19～31.5mm、9.5～19mm、4.75～9.5mm、0～4.75mm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155000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水稳拌合站    K83+800左侧800m</w:t>
            </w: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7km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沥青结构层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普通机制砂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0～4.75mm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25900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沥青拌合站    K75+200左侧850m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29.3km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碎石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mm、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mm、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mm、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mm、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～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bidi="ar"/>
              </w:rPr>
              <w:t>mm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87900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  <w:t>m</w:t>
            </w: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 w:bidi="ar"/>
              </w:rPr>
              <w:t>467000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3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0"/>
                <w:szCs w:val="20"/>
                <w:lang w:bidi="ar"/>
              </w:rPr>
            </w:pPr>
          </w:p>
        </w:tc>
      </w:tr>
    </w:tbl>
    <w:p>
      <w:pPr>
        <w:spacing w:line="360" w:lineRule="auto"/>
        <w:rPr>
          <w:rFonts w:hint="default" w:ascii="楷体" w:hAnsi="楷体" w:eastAsia="楷体" w:cs="Times New Roman"/>
          <w:color w:val="auto"/>
          <w:sz w:val="21"/>
          <w:szCs w:val="24"/>
          <w:lang w:val="en-US" w:eastAsia="zh-CN" w:bidi="ar-SA"/>
        </w:rPr>
      </w:pPr>
    </w:p>
    <w:p>
      <w:pPr>
        <w:widowControl/>
        <w:numPr>
          <w:ilvl w:val="0"/>
          <w:numId w:val="1"/>
        </w:numPr>
        <w:topLinePunct/>
        <w:spacing w:line="360" w:lineRule="auto"/>
        <w:ind w:right="370" w:rightChars="154" w:firstLine="480" w:firstLineChars="200"/>
        <w:jc w:val="both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质量标准及技术要求</w:t>
      </w:r>
    </w:p>
    <w:p>
      <w:pPr>
        <w:widowControl/>
        <w:topLinePunct/>
        <w:spacing w:line="360" w:lineRule="auto"/>
        <w:ind w:firstLine="488" w:firstLineChars="200"/>
        <w:jc w:val="both"/>
        <w:rPr>
          <w:rFonts w:ascii="楷体" w:hAnsi="楷体" w:eastAsia="楷体"/>
          <w:color w:val="auto"/>
          <w:spacing w:val="2"/>
        </w:rPr>
      </w:pPr>
      <w:r>
        <w:rPr>
          <w:rFonts w:hint="eastAsia" w:ascii="楷体" w:hAnsi="楷体" w:eastAsia="楷体"/>
          <w:color w:val="auto"/>
          <w:spacing w:val="2"/>
        </w:rPr>
        <w:t>（1）</w:t>
      </w:r>
      <w:r>
        <w:rPr>
          <w:rFonts w:hint="eastAsia" w:ascii="楷体" w:hAnsi="楷体" w:eastAsia="楷体"/>
          <w:color w:val="auto"/>
        </w:rPr>
        <w:t>质量标准：</w:t>
      </w:r>
      <w:r>
        <w:rPr>
          <w:rFonts w:hint="eastAsia" w:ascii="楷体" w:hAnsi="楷体" w:eastAsia="楷体"/>
          <w:color w:val="auto"/>
          <w:spacing w:val="2"/>
        </w:rPr>
        <w:t>碎石、机制砂的质量技术要求必须符合《公路桥涵施工技术规范》（</w:t>
      </w:r>
      <w:r>
        <w:rPr>
          <w:rFonts w:ascii="楷体" w:hAnsi="楷体" w:eastAsia="楷体"/>
          <w:color w:val="auto"/>
          <w:spacing w:val="2"/>
        </w:rPr>
        <w:t>JTG/T F50-2011</w:t>
      </w:r>
      <w:r>
        <w:rPr>
          <w:rFonts w:hint="eastAsia" w:ascii="楷体" w:hAnsi="楷体" w:eastAsia="楷体"/>
          <w:color w:val="auto"/>
          <w:spacing w:val="2"/>
        </w:rPr>
        <w:t>）、《公路工程水泥混凝土用机制砂》（</w:t>
      </w:r>
      <w:r>
        <w:rPr>
          <w:rFonts w:ascii="楷体" w:hAnsi="楷体" w:eastAsia="楷体"/>
          <w:color w:val="auto"/>
          <w:spacing w:val="2"/>
        </w:rPr>
        <w:t>JT/T819-2011</w:t>
      </w:r>
      <w:r>
        <w:rPr>
          <w:rFonts w:hint="eastAsia" w:ascii="楷体" w:hAnsi="楷体" w:eastAsia="楷体"/>
          <w:color w:val="auto"/>
          <w:spacing w:val="2"/>
        </w:rPr>
        <w:t>）、《机制砂及机制砂混凝土应用技术规范》（</w:t>
      </w:r>
      <w:r>
        <w:rPr>
          <w:rFonts w:ascii="楷体" w:hAnsi="楷体" w:eastAsia="楷体"/>
          <w:color w:val="auto"/>
          <w:spacing w:val="2"/>
        </w:rPr>
        <w:t>DB45 T 1621-2017</w:t>
      </w:r>
      <w:r>
        <w:rPr>
          <w:rFonts w:hint="eastAsia" w:ascii="楷体" w:hAnsi="楷体" w:eastAsia="楷体"/>
          <w:color w:val="auto"/>
          <w:spacing w:val="2"/>
        </w:rPr>
        <w:t>）、《公路工程基层施工技术细则》（</w:t>
      </w:r>
      <w:r>
        <w:rPr>
          <w:rFonts w:ascii="楷体" w:hAnsi="楷体" w:eastAsia="楷体"/>
          <w:color w:val="auto"/>
          <w:spacing w:val="2"/>
        </w:rPr>
        <w:t>JTG/TF20-2015</w:t>
      </w:r>
      <w:r>
        <w:rPr>
          <w:rFonts w:hint="eastAsia" w:ascii="楷体" w:hAnsi="楷体" w:eastAsia="楷体"/>
          <w:color w:val="auto"/>
          <w:spacing w:val="2"/>
        </w:rPr>
        <w:t>）、《公路沥青路面施工技术规范》（</w:t>
      </w:r>
      <w:r>
        <w:rPr>
          <w:rFonts w:ascii="楷体" w:hAnsi="楷体" w:eastAsia="楷体"/>
          <w:color w:val="auto"/>
          <w:spacing w:val="2"/>
        </w:rPr>
        <w:t>JTGF40-2004</w:t>
      </w:r>
      <w:r>
        <w:rPr>
          <w:rFonts w:hint="eastAsia" w:ascii="楷体" w:hAnsi="楷体" w:eastAsia="楷体"/>
          <w:color w:val="auto"/>
          <w:spacing w:val="2"/>
        </w:rPr>
        <w:t>）、《公路工程岩石试验规程》（</w:t>
      </w:r>
      <w:r>
        <w:rPr>
          <w:rFonts w:ascii="楷体" w:hAnsi="楷体" w:eastAsia="楷体"/>
          <w:color w:val="auto"/>
          <w:spacing w:val="2"/>
        </w:rPr>
        <w:t>JTGE41-2005</w:t>
      </w:r>
      <w:r>
        <w:rPr>
          <w:rFonts w:hint="eastAsia" w:ascii="楷体" w:hAnsi="楷体" w:eastAsia="楷体"/>
          <w:color w:val="auto"/>
          <w:spacing w:val="2"/>
        </w:rPr>
        <w:t>）等标准及其引用标准和规范性引用文件，碎石、机制砂的生产设备、生产工艺满足工程项目的设计要求，及项目业主、监理对碎石、机制砂生产质量的相关规定。</w:t>
      </w:r>
    </w:p>
    <w:p>
      <w:pPr>
        <w:widowControl/>
        <w:topLinePunct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（2）</w:t>
      </w:r>
      <w:r>
        <w:rPr>
          <w:rFonts w:ascii="楷体" w:hAnsi="楷体" w:eastAsia="楷体"/>
          <w:color w:val="auto"/>
        </w:rPr>
        <w:t>技术要求</w:t>
      </w:r>
      <w:r>
        <w:rPr>
          <w:rFonts w:hint="eastAsia" w:ascii="楷体" w:hAnsi="楷体" w:eastAsia="楷体"/>
          <w:color w:val="auto"/>
        </w:rPr>
        <w:t>：详</w:t>
      </w:r>
      <w:r>
        <w:rPr>
          <w:rFonts w:ascii="楷体" w:hAnsi="楷体" w:eastAsia="楷体"/>
          <w:color w:val="auto"/>
        </w:rPr>
        <w:t>见招标文件</w:t>
      </w:r>
      <w:r>
        <w:rPr>
          <w:rFonts w:hint="eastAsia" w:ascii="楷体" w:hAnsi="楷体" w:eastAsia="楷体"/>
          <w:color w:val="auto"/>
        </w:rPr>
        <w:t>。</w:t>
      </w:r>
    </w:p>
    <w:p>
      <w:pPr>
        <w:autoSpaceDE/>
        <w:autoSpaceDN/>
        <w:spacing w:line="360" w:lineRule="auto"/>
        <w:ind w:right="158" w:rightChars="66"/>
        <w:jc w:val="both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4、碎石、机制砂生产设备的配置及生产工艺要求</w:t>
      </w:r>
    </w:p>
    <w:p>
      <w:pPr>
        <w:autoSpaceDE/>
        <w:autoSpaceDN/>
        <w:spacing w:line="360" w:lineRule="auto"/>
        <w:ind w:right="158" w:rightChars="66" w:firstLine="360" w:firstLineChars="150"/>
        <w:jc w:val="both"/>
        <w:rPr>
          <w:rFonts w:ascii="楷体" w:hAnsi="楷体" w:eastAsia="楷体"/>
          <w:color w:val="auto"/>
          <w:spacing w:val="2"/>
        </w:rPr>
      </w:pPr>
      <w:r>
        <w:rPr>
          <w:rFonts w:hint="eastAsia" w:ascii="楷体" w:hAnsi="楷体" w:eastAsia="楷体"/>
          <w:color w:val="auto"/>
        </w:rPr>
        <w:t>（1）</w:t>
      </w:r>
      <w:r>
        <w:rPr>
          <w:rFonts w:hint="eastAsia" w:ascii="楷体" w:hAnsi="楷体" w:eastAsia="楷体"/>
          <w:color w:val="auto"/>
          <w:spacing w:val="2"/>
        </w:rPr>
        <w:t>加工碎石的设备配置及生产工艺应满足以下要求：喂料口处设带振动的条形筛孔，用于过滤泥土、针片状块石；加工设备采用二级及以上的破碎组合方式，一级破碎使用进料口大于</w:t>
      </w:r>
      <w:r>
        <w:rPr>
          <w:rFonts w:ascii="楷体" w:hAnsi="楷体" w:eastAsia="楷体"/>
          <w:color w:val="auto"/>
          <w:spacing w:val="2"/>
        </w:rPr>
        <w:t>900</w:t>
      </w:r>
      <w:r>
        <w:rPr>
          <w:rFonts w:hint="eastAsia" w:ascii="楷体" w:hAnsi="楷体" w:eastAsia="楷体"/>
          <w:color w:val="auto"/>
          <w:spacing w:val="2"/>
        </w:rPr>
        <w:t>×</w:t>
      </w:r>
      <w:r>
        <w:rPr>
          <w:rFonts w:ascii="楷体" w:hAnsi="楷体" w:eastAsia="楷体"/>
          <w:color w:val="auto"/>
          <w:spacing w:val="2"/>
        </w:rPr>
        <w:t>1200mm</w:t>
      </w:r>
      <w:r>
        <w:rPr>
          <w:rFonts w:hint="eastAsia" w:ascii="楷体" w:hAnsi="楷体" w:eastAsia="楷体"/>
          <w:color w:val="auto"/>
          <w:spacing w:val="2"/>
        </w:rPr>
        <w:t>的鄂式破碎机或重锤式破碎机，二级（或三级）破碎使用反击式或圆锥破碎机，其设备型号的选择应满足产量的要求；配置多组三层及以上的大面积振动筛及石料输送系统，满足同时对多档石料（石粉）的筛分与输送。碎石加工场、料场等的投料器均配备防尘设备。</w:t>
      </w:r>
    </w:p>
    <w:p>
      <w:pPr>
        <w:autoSpaceDE/>
        <w:autoSpaceDN/>
        <w:spacing w:line="360" w:lineRule="auto"/>
        <w:ind w:right="158" w:rightChars="66" w:firstLine="480" w:firstLineChars="200"/>
        <w:jc w:val="both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（2）用于加工沥青结构层用碎石的破碎生产线，在满足上述要求外，须对沥青粗集料二次筛分整形，在生产线增加整形机和砂粉分离器的措施，充分利用整形机和砂粉分离器的工艺特点，在对母岩质量控制的同时，进一步解决碎石集料的针片状及粉尘含量超标等问题。</w:t>
      </w:r>
    </w:p>
    <w:p>
      <w:pPr>
        <w:autoSpaceDE/>
        <w:autoSpaceDN/>
        <w:spacing w:line="360" w:lineRule="auto"/>
        <w:ind w:right="158" w:rightChars="66" w:firstLine="480" w:firstLineChars="200"/>
        <w:jc w:val="both"/>
        <w:rPr>
          <w:color w:val="auto"/>
        </w:rPr>
      </w:pPr>
      <w:r>
        <w:rPr>
          <w:rFonts w:hint="eastAsia" w:ascii="楷体" w:hAnsi="楷体" w:eastAsia="楷体"/>
          <w:color w:val="auto"/>
        </w:rPr>
        <w:t>（3）用于加工桥涵结构物用普通机制砂、沥青结构层用普通机制砂的破碎生产线，在满足上述要求外，应安装专业制砂设备及粗、细粒分离除尘设备，以</w:t>
      </w:r>
      <w:r>
        <w:rPr>
          <w:rFonts w:ascii="楷体" w:hAnsi="楷体" w:eastAsia="楷体"/>
          <w:color w:val="auto"/>
        </w:rPr>
        <w:t>满足</w:t>
      </w:r>
      <w:r>
        <w:rPr>
          <w:rFonts w:hint="eastAsia" w:ascii="楷体" w:hAnsi="楷体" w:eastAsia="楷体"/>
          <w:color w:val="auto"/>
        </w:rPr>
        <w:t>小于</w:t>
      </w:r>
      <w:r>
        <w:rPr>
          <w:rFonts w:ascii="楷体" w:hAnsi="楷体" w:eastAsia="楷体"/>
          <w:color w:val="auto"/>
        </w:rPr>
        <w:t>0.075mm</w:t>
      </w:r>
      <w:r>
        <w:rPr>
          <w:rFonts w:hint="eastAsia" w:ascii="楷体" w:hAnsi="楷体" w:eastAsia="楷体"/>
          <w:color w:val="auto"/>
        </w:rPr>
        <w:t>的含粉量要求;机制砂生产采用粗碎、中碎、细碎三级破碎工艺，即必须采用碎石的破碎生产线生产的碎石（粒经</w:t>
      </w:r>
      <w:r>
        <w:rPr>
          <w:rFonts w:ascii="楷体" w:hAnsi="楷体" w:eastAsia="楷体"/>
          <w:color w:val="auto"/>
        </w:rPr>
        <w:t>5mm</w:t>
      </w:r>
      <w:r>
        <w:rPr>
          <w:rFonts w:hint="eastAsia" w:ascii="楷体" w:hAnsi="楷体" w:eastAsia="楷体"/>
          <w:color w:val="auto"/>
        </w:rPr>
        <w:t>以上）作为机制砂的生产原料。</w:t>
      </w:r>
    </w:p>
    <w:p>
      <w:pPr>
        <w:widowControl/>
        <w:topLinePunct/>
        <w:spacing w:line="360" w:lineRule="auto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color w:val="auto"/>
          <w:sz w:val="24"/>
          <w:szCs w:val="24"/>
        </w:rPr>
        <w:t>、交货期：2021年</w:t>
      </w:r>
      <w:r>
        <w:rPr>
          <w:rFonts w:hint="eastAsia" w:ascii="楷体" w:hAnsi="楷体" w:eastAsia="楷体"/>
          <w:color w:val="auto"/>
          <w:sz w:val="24"/>
          <w:szCs w:val="24"/>
          <w:lang w:val="en-US" w:eastAsia="zh-CN"/>
        </w:rPr>
        <w:t>9</w:t>
      </w:r>
      <w:bookmarkStart w:id="14" w:name="_GoBack"/>
      <w:bookmarkEnd w:id="14"/>
      <w:r>
        <w:rPr>
          <w:rFonts w:hint="eastAsia" w:ascii="楷体" w:hAnsi="楷体" w:eastAsia="楷体"/>
          <w:color w:val="auto"/>
          <w:sz w:val="24"/>
          <w:szCs w:val="24"/>
        </w:rPr>
        <w:t>月至工程施工结束，具体视项目进度而定。</w:t>
      </w:r>
    </w:p>
    <w:p>
      <w:pPr>
        <w:pStyle w:val="4"/>
        <w:spacing w:line="360" w:lineRule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2" w:name="_Toc18179"/>
      <w:bookmarkStart w:id="3" w:name="_Toc26865"/>
      <w:bookmarkStart w:id="4" w:name="OLE_LINK4"/>
      <w:r>
        <w:rPr>
          <w:rFonts w:hint="eastAsia" w:ascii="楷体" w:hAnsi="楷体" w:eastAsia="楷体"/>
          <w:b/>
          <w:color w:val="auto"/>
          <w:sz w:val="24"/>
          <w:szCs w:val="24"/>
        </w:rPr>
        <w:t>二、投标人资格要求</w:t>
      </w:r>
      <w:bookmarkEnd w:id="2"/>
      <w:bookmarkEnd w:id="3"/>
    </w:p>
    <w:p>
      <w:pPr>
        <w:widowControl/>
        <w:topLinePunct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1、资质要求：</w:t>
      </w:r>
    </w:p>
    <w:p>
      <w:pPr>
        <w:widowControl/>
        <w:topLinePunct/>
        <w:spacing w:line="360" w:lineRule="auto"/>
        <w:ind w:firstLine="480" w:firstLineChars="200"/>
        <w:jc w:val="both"/>
        <w:rPr>
          <w:rFonts w:ascii="楷体" w:hAnsi="楷体" w:eastAsia="楷体"/>
          <w:color w:val="auto"/>
        </w:rPr>
      </w:pPr>
      <w:r>
        <w:rPr>
          <w:rFonts w:hint="eastAsia" w:ascii="楷体" w:hAnsi="楷体" w:eastAsia="楷体"/>
          <w:color w:val="auto"/>
        </w:rPr>
        <w:t>投标人应为在中华人民共和国工商部门登记、具有独立法人资格，具有合法、有效的企业法人营业执照、税务登记证书。投标人拟投入到项目的生产设备应为自有设备，其设备配置应满足项目对碎石质量与需求进度的要求。</w:t>
      </w:r>
    </w:p>
    <w:p>
      <w:pPr>
        <w:widowControl/>
        <w:numPr>
          <w:ilvl w:val="0"/>
          <w:numId w:val="0"/>
        </w:numPr>
        <w:topLinePunct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2、财务要求：</w:t>
      </w:r>
    </w:p>
    <w:p>
      <w:pPr>
        <w:widowControl/>
        <w:topLinePunct/>
        <w:spacing w:line="360" w:lineRule="auto"/>
        <w:ind w:firstLine="480" w:firstLineChars="200"/>
        <w:jc w:val="both"/>
        <w:rPr>
          <w:rFonts w:hint="default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具有较强经济实力和良好的财务状况。</w:t>
      </w:r>
    </w:p>
    <w:p>
      <w:pPr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3、业绩要求：</w:t>
      </w:r>
    </w:p>
    <w:p>
      <w:pPr>
        <w:shd w:val="clear" w:color="auto" w:fill="FFFFFF"/>
        <w:spacing w:line="360" w:lineRule="auto"/>
        <w:ind w:firstLine="480" w:firstLineChars="200"/>
        <w:rPr>
          <w:rFonts w:hint="eastAsia" w:ascii="楷体" w:hAnsi="楷体" w:eastAsia="楷体"/>
          <w:color w:val="auto"/>
          <w:lang w:val="en-US" w:eastAsia="zh-CN"/>
        </w:rPr>
      </w:pPr>
      <w:r>
        <w:rPr>
          <w:rFonts w:hint="eastAsia" w:ascii="楷体" w:hAnsi="楷体" w:eastAsia="楷体"/>
          <w:color w:val="auto"/>
        </w:rPr>
        <w:t>近三</w:t>
      </w:r>
      <w:r>
        <w:rPr>
          <w:rFonts w:ascii="楷体" w:hAnsi="楷体" w:eastAsia="楷体"/>
          <w:color w:val="auto"/>
        </w:rPr>
        <w:t>年</w:t>
      </w:r>
      <w:r>
        <w:rPr>
          <w:rFonts w:hint="eastAsia" w:ascii="楷体" w:hAnsi="楷体" w:eastAsia="楷体"/>
          <w:color w:val="auto"/>
        </w:rPr>
        <w:t>具有</w:t>
      </w:r>
      <w:r>
        <w:rPr>
          <w:rFonts w:hint="eastAsia" w:ascii="楷体" w:hAnsi="楷体" w:eastAsia="楷体"/>
          <w:color w:val="auto"/>
          <w:lang w:val="en-US" w:eastAsia="zh-CN"/>
        </w:rPr>
        <w:t>高速</w:t>
      </w:r>
      <w:r>
        <w:rPr>
          <w:rFonts w:hint="eastAsia" w:ascii="楷体" w:hAnsi="楷体" w:eastAsia="楷体"/>
          <w:color w:val="auto"/>
        </w:rPr>
        <w:t>公路</w:t>
      </w:r>
      <w:r>
        <w:rPr>
          <w:rFonts w:ascii="楷体" w:hAnsi="楷体" w:eastAsia="楷体"/>
          <w:color w:val="auto"/>
        </w:rPr>
        <w:t>建设</w:t>
      </w:r>
      <w:r>
        <w:rPr>
          <w:rFonts w:hint="eastAsia" w:ascii="楷体" w:hAnsi="楷体" w:eastAsia="楷体"/>
          <w:color w:val="auto"/>
        </w:rPr>
        <w:t>项目碎石自采</w:t>
      </w:r>
      <w:r>
        <w:rPr>
          <w:rFonts w:ascii="楷体" w:hAnsi="楷体" w:eastAsia="楷体"/>
          <w:color w:val="auto"/>
        </w:rPr>
        <w:t>加工</w:t>
      </w:r>
      <w:r>
        <w:rPr>
          <w:rFonts w:hint="eastAsia" w:ascii="楷体" w:hAnsi="楷体" w:eastAsia="楷体"/>
          <w:color w:val="auto"/>
          <w:lang w:val="en-US" w:eastAsia="zh-CN"/>
        </w:rPr>
        <w:t>或自有石场</w:t>
      </w:r>
      <w:r>
        <w:rPr>
          <w:rFonts w:hint="eastAsia" w:ascii="楷体" w:hAnsi="楷体" w:eastAsia="楷体"/>
          <w:color w:val="auto"/>
        </w:rPr>
        <w:t>的经验和业绩</w:t>
      </w:r>
      <w:r>
        <w:rPr>
          <w:rFonts w:hint="eastAsia" w:ascii="楷体" w:hAnsi="楷体" w:eastAsia="楷体"/>
          <w:color w:val="auto"/>
          <w:lang w:eastAsia="zh-CN"/>
        </w:rPr>
        <w:t>（</w:t>
      </w:r>
      <w:r>
        <w:rPr>
          <w:rFonts w:hint="eastAsia" w:ascii="楷体" w:hAnsi="楷体" w:eastAsia="楷体"/>
          <w:color w:val="auto"/>
          <w:lang w:val="en-US" w:eastAsia="zh-CN"/>
        </w:rPr>
        <w:t>中标通知书、合同协议书、结算资料等</w:t>
      </w:r>
      <w:r>
        <w:rPr>
          <w:rFonts w:hint="eastAsia" w:ascii="楷体" w:hAnsi="楷体" w:eastAsia="楷体"/>
          <w:color w:val="auto"/>
          <w:lang w:eastAsia="zh-CN"/>
        </w:rPr>
        <w:t>）。</w:t>
      </w:r>
    </w:p>
    <w:p>
      <w:pPr>
        <w:shd w:val="clear" w:color="auto" w:fill="FFFFFF"/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4、信誉要求：</w:t>
      </w:r>
    </w:p>
    <w:p>
      <w:pPr>
        <w:shd w:val="clear" w:color="auto" w:fill="FFFFFF"/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投标人应有较好的商业信誉。工作信誉不佳、有过不良履约记录的单位不能参与报名，均按否决投标处理。</w:t>
      </w:r>
      <w:r>
        <w:rPr>
          <w:rFonts w:hint="eastAsia" w:ascii="楷体" w:hAnsi="楷体" w:eastAsia="楷体"/>
          <w:color w:val="auto"/>
          <w:spacing w:val="-3"/>
          <w:sz w:val="24"/>
          <w:szCs w:val="24"/>
        </w:rPr>
        <w:t>根据最高人民法院等9部门《关于在招投标活动中对失信被执行人实施联合惩戒的通知》（法（2016）285号）规定，对在“信用中国”网站（www.creditchina.gov.cn）中被列入失信被执行人或重大税收违法案件当事人名单，或政府采购严重违法失信名单的投标人，不得参加投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其他要求：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（1）本次招标不接受联合体投标。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（2）与招标人存在利害关系可能影响招标公正性的法人、其他组织或者个人，不得参加投标。若单位负责人为同一人、或者存在控股、管理关系的不同单位，不得参加同一标段投标，否则按否决其投标处理。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68" w:firstLineChars="200"/>
        <w:textAlignment w:val="auto"/>
        <w:rPr>
          <w:rFonts w:hint="eastAsia" w:ascii="楷体" w:hAnsi="楷体" w:eastAsia="楷体"/>
          <w:b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pacing w:val="-3"/>
          <w:sz w:val="24"/>
          <w:szCs w:val="24"/>
          <w:lang w:val="en-US" w:eastAsia="zh-CN" w:bidi="ar-SA"/>
        </w:rPr>
        <w:t>6、专项资格要求：无</w:t>
      </w:r>
    </w:p>
    <w:p>
      <w:pPr>
        <w:pStyle w:val="4"/>
        <w:spacing w:line="360" w:lineRule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5" w:name="_Toc20912"/>
      <w:bookmarkStart w:id="6" w:name="_Toc28686"/>
      <w:r>
        <w:rPr>
          <w:rFonts w:hint="eastAsia" w:ascii="楷体" w:hAnsi="楷体" w:eastAsia="楷体"/>
          <w:b/>
          <w:color w:val="auto"/>
          <w:sz w:val="24"/>
          <w:szCs w:val="24"/>
        </w:rPr>
        <w:t>三、</w:t>
      </w:r>
      <w:bookmarkEnd w:id="4"/>
      <w:bookmarkEnd w:id="5"/>
      <w:bookmarkStart w:id="7" w:name="_Toc22908"/>
      <w:r>
        <w:rPr>
          <w:rFonts w:hint="eastAsia" w:ascii="楷体" w:hAnsi="楷体" w:eastAsia="楷体"/>
          <w:b/>
          <w:color w:val="auto"/>
          <w:sz w:val="24"/>
          <w:szCs w:val="24"/>
        </w:rPr>
        <w:t>发布通告的媒介</w:t>
      </w:r>
      <w:bookmarkEnd w:id="6"/>
      <w:bookmarkEnd w:id="7"/>
    </w:p>
    <w:p>
      <w:pPr>
        <w:widowControl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本次招标将在阿里巴巴广西路建工程集团有限公司物资采购平台网（简称广西路建“采购平台”https://gxljjt.go.1688.com/page/index.htm与广西路建集团官方网站、广西路建集团OA网同时发布招标通告。</w:t>
      </w:r>
    </w:p>
    <w:p>
      <w:pPr>
        <w:pStyle w:val="4"/>
        <w:spacing w:line="360" w:lineRule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8" w:name="_Toc7242"/>
      <w:bookmarkStart w:id="9" w:name="_Toc26783"/>
      <w:r>
        <w:rPr>
          <w:rFonts w:hint="eastAsia" w:ascii="楷体" w:hAnsi="楷体" w:eastAsia="楷体"/>
          <w:b/>
          <w:color w:val="auto"/>
          <w:sz w:val="24"/>
          <w:szCs w:val="24"/>
        </w:rPr>
        <w:t>四、报名方式</w:t>
      </w:r>
      <w:bookmarkEnd w:id="8"/>
      <w:bookmarkEnd w:id="9"/>
    </w:p>
    <w:p>
      <w:pPr>
        <w:widowControl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1、报名方式：潜在投标人应按招标通告要求完成广西路建“采购平台”网上报名方为报名成功；</w:t>
      </w:r>
      <w:r>
        <w:rPr>
          <w:rFonts w:hint="eastAsia" w:ascii="楷体" w:hAnsi="楷体" w:eastAsia="楷体"/>
          <w:b/>
          <w:color w:val="auto"/>
          <w:sz w:val="24"/>
          <w:szCs w:val="24"/>
        </w:rPr>
        <w:t>（未注册阿里巴巴采购平台的投标人需先下载《阿里企业采购平台供应商上线免费注册指导手册》自行完成注册，手册详见招标通告附件）</w:t>
      </w:r>
    </w:p>
    <w:p>
      <w:pPr>
        <w:widowControl/>
        <w:autoSpaceDE/>
        <w:autoSpaceDN/>
        <w:adjustRightInd/>
        <w:spacing w:line="360" w:lineRule="auto"/>
        <w:ind w:right="430" w:rightChars="179" w:firstLine="480" w:firstLineChars="200"/>
        <w:rPr>
          <w:rFonts w:hint="eastAsia" w:ascii="楷体" w:hAnsi="楷体" w:eastAsia="楷体"/>
          <w:color w:val="auto"/>
          <w:sz w:val="24"/>
          <w:szCs w:val="24"/>
          <w:highlight w:val="none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2、报名时间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</w:rPr>
        <w:t>：自通告之日起至2021年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</w:rPr>
        <w:t>日9时00分前</w:t>
      </w:r>
    </w:p>
    <w:p>
      <w:pPr>
        <w:widowControl/>
        <w:autoSpaceDE/>
        <w:autoSpaceDN/>
        <w:adjustRightInd/>
        <w:spacing w:line="360" w:lineRule="auto"/>
        <w:ind w:right="430" w:rightChars="179"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3、报名网址：广西路建“采购平台”https://gxljjt.go.1688.com/page/index.htm</w:t>
      </w:r>
    </w:p>
    <w:p>
      <w:pPr>
        <w:pStyle w:val="4"/>
        <w:spacing w:line="360" w:lineRule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10" w:name="_Toc17613"/>
      <w:r>
        <w:rPr>
          <w:rFonts w:hint="eastAsia" w:ascii="楷体" w:hAnsi="楷体" w:eastAsia="楷体"/>
          <w:b/>
          <w:color w:val="auto"/>
          <w:sz w:val="24"/>
          <w:szCs w:val="24"/>
        </w:rPr>
        <w:t>五、招标文件的获取</w:t>
      </w:r>
      <w:bookmarkEnd w:id="10"/>
    </w:p>
    <w:p>
      <w:pPr>
        <w:pStyle w:val="4"/>
        <w:spacing w:line="360" w:lineRule="auto"/>
        <w:ind w:firstLine="482" w:firstLineChars="200"/>
        <w:rPr>
          <w:rFonts w:hint="eastAsia" w:ascii="楷体" w:hAnsi="楷体" w:eastAsia="楷体"/>
          <w:b/>
          <w:color w:val="auto"/>
          <w:sz w:val="24"/>
          <w:szCs w:val="24"/>
        </w:rPr>
      </w:pPr>
      <w:r>
        <w:rPr>
          <w:rFonts w:hint="eastAsia" w:ascii="楷体" w:hAnsi="楷体" w:eastAsia="楷体"/>
          <w:b/>
          <w:color w:val="auto"/>
          <w:sz w:val="24"/>
          <w:szCs w:val="24"/>
        </w:rPr>
        <w:t>潜在投标人在广西路建“采购平台”（https://gxljjt.go.1688.com/page/index.htm）下载电子版招标文件。</w:t>
      </w:r>
    </w:p>
    <w:p>
      <w:pPr>
        <w:pStyle w:val="4"/>
        <w:spacing w:line="360" w:lineRule="auto"/>
        <w:rPr>
          <w:rFonts w:hint="eastAsia" w:ascii="楷体" w:hAnsi="楷体" w:eastAsia="楷体"/>
          <w:b/>
          <w:color w:val="auto"/>
          <w:sz w:val="24"/>
          <w:szCs w:val="24"/>
        </w:rPr>
      </w:pPr>
      <w:bookmarkStart w:id="11" w:name="_Toc11733"/>
      <w:r>
        <w:rPr>
          <w:rFonts w:hint="eastAsia" w:ascii="楷体" w:hAnsi="楷体" w:eastAsia="楷体"/>
          <w:b/>
          <w:color w:val="auto"/>
          <w:sz w:val="24"/>
          <w:szCs w:val="24"/>
        </w:rPr>
        <w:t>六、投标文件的递交</w:t>
      </w:r>
      <w:bookmarkEnd w:id="11"/>
    </w:p>
    <w:p>
      <w:pPr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1、递交方式：线上线下均要递交。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2、递交地点：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（1）线上递交</w:t>
      </w:r>
    </w:p>
    <w:p>
      <w:pPr>
        <w:widowControl/>
        <w:spacing w:line="360" w:lineRule="auto"/>
        <w:ind w:firstLine="482" w:firstLineChars="200"/>
        <w:jc w:val="both"/>
        <w:rPr>
          <w:rFonts w:hint="eastAsia" w:ascii="楷体" w:hAnsi="楷体" w:eastAsia="楷体"/>
          <w:b/>
          <w:color w:val="auto"/>
          <w:sz w:val="24"/>
          <w:szCs w:val="24"/>
        </w:rPr>
      </w:pPr>
      <w:r>
        <w:rPr>
          <w:rFonts w:hint="eastAsia" w:ascii="楷体" w:hAnsi="楷体" w:eastAsia="楷体"/>
          <w:b/>
          <w:color w:val="auto"/>
          <w:sz w:val="24"/>
          <w:szCs w:val="24"/>
        </w:rPr>
        <w:t>广西路建“采购平台”https://gxljjt.go.1688.com/page/index.htm。投标人需对投标文件加密后再上传，待开标时再向招标人提供文件密码开启。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（2）线下递交</w:t>
      </w:r>
    </w:p>
    <w:p>
      <w:pPr>
        <w:widowControl/>
        <w:spacing w:line="360" w:lineRule="auto"/>
        <w:ind w:firstLine="480" w:firstLineChars="200"/>
        <w:jc w:val="both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广西路建工程集团有限公司材料管理部（南宁市邕武路1号广西路建工程集团大厦16楼1608室）。</w:t>
      </w:r>
    </w:p>
    <w:p>
      <w:pPr>
        <w:spacing w:line="360" w:lineRule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     3、逾期线下未递交投标文件的，招标人不予受理。</w:t>
      </w:r>
    </w:p>
    <w:p>
      <w:pPr>
        <w:spacing w:line="360" w:lineRule="auto"/>
        <w:rPr>
          <w:rFonts w:hint="eastAsia" w:ascii="楷体" w:hAnsi="楷体" w:eastAsia="楷体"/>
          <w:color w:val="auto"/>
          <w:sz w:val="24"/>
          <w:szCs w:val="24"/>
        </w:rPr>
      </w:pPr>
      <w:bookmarkStart w:id="12" w:name="_Toc19574"/>
      <w:r>
        <w:rPr>
          <w:rStyle w:val="9"/>
          <w:rFonts w:hint="eastAsia" w:ascii="楷体" w:hAnsi="楷体" w:eastAsia="楷体"/>
          <w:color w:val="auto"/>
          <w:sz w:val="24"/>
          <w:szCs w:val="24"/>
        </w:rPr>
        <w:t>七、招标工作安排</w:t>
      </w:r>
      <w:bookmarkEnd w:id="12"/>
      <w:r>
        <w:rPr>
          <w:rFonts w:hint="eastAsia" w:ascii="楷体" w:hAnsi="楷体" w:eastAsia="楷体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1、开标地点、时间详见招标文件。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2、本项目不统一组织察勘现场及标前会，由投标人自行踏勘。</w:t>
      </w:r>
    </w:p>
    <w:p>
      <w:pPr>
        <w:spacing w:line="360" w:lineRule="auto"/>
        <w:ind w:firstLine="480" w:firstLineChars="200"/>
        <w:rPr>
          <w:rStyle w:val="9"/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>3、投标保证金金额为</w:t>
      </w:r>
      <w:r>
        <w:rPr>
          <w:rFonts w:hint="eastAsia" w:ascii="楷体" w:hAnsi="楷体" w:eastAsia="楷体" w:cs="Times New Roman"/>
          <w:color w:val="auto"/>
          <w:sz w:val="24"/>
          <w:szCs w:val="24"/>
        </w:rPr>
        <w:t>50000元</w:t>
      </w:r>
      <w:r>
        <w:rPr>
          <w:rFonts w:hint="eastAsia" w:ascii="楷体" w:hAnsi="楷体" w:eastAsia="楷体"/>
          <w:color w:val="auto"/>
          <w:sz w:val="24"/>
          <w:szCs w:val="24"/>
        </w:rPr>
        <w:t>。投标保证金在中标人合同签订后按规定退还。</w:t>
      </w:r>
      <w:bookmarkStart w:id="13" w:name="_Toc7956"/>
    </w:p>
    <w:p>
      <w:pPr>
        <w:spacing w:line="360" w:lineRule="auto"/>
        <w:rPr>
          <w:rStyle w:val="9"/>
          <w:rFonts w:hint="eastAsia" w:ascii="楷体" w:hAnsi="楷体" w:eastAsia="楷体"/>
          <w:color w:val="auto"/>
          <w:sz w:val="24"/>
          <w:szCs w:val="24"/>
        </w:rPr>
      </w:pPr>
      <w:r>
        <w:rPr>
          <w:rStyle w:val="9"/>
          <w:rFonts w:hint="eastAsia" w:ascii="楷体" w:hAnsi="楷体" w:eastAsia="楷体"/>
          <w:color w:val="auto"/>
          <w:sz w:val="24"/>
          <w:szCs w:val="24"/>
        </w:rPr>
        <w:t>八、联系方式</w:t>
      </w:r>
    </w:p>
    <w:bookmarkEnd w:id="13"/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联系人：广西路建工程集团有限公司材料管理部 </w:t>
      </w:r>
      <w:r>
        <w:rPr>
          <w:rFonts w:hint="eastAsia" w:ascii="楷体" w:hAnsi="楷体" w:eastAsia="楷体"/>
          <w:color w:val="auto"/>
          <w:sz w:val="24"/>
          <w:szCs w:val="24"/>
          <w:lang w:val="en-US" w:eastAsia="zh-CN"/>
        </w:rPr>
        <w:t>王</w:t>
      </w:r>
      <w:r>
        <w:rPr>
          <w:rFonts w:hint="eastAsia" w:ascii="楷体" w:hAnsi="楷体" w:eastAsia="楷体"/>
          <w:color w:val="auto"/>
          <w:sz w:val="24"/>
          <w:szCs w:val="24"/>
        </w:rPr>
        <w:t>先生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电 话： 0771-2519909 </w:t>
      </w:r>
    </w:p>
    <w:p>
      <w:pPr>
        <w:spacing w:line="360" w:lineRule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                        </w:t>
      </w:r>
    </w:p>
    <w:p>
      <w:pPr>
        <w:spacing w:line="360" w:lineRule="auto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                                             广西路建工程集团有限公司</w:t>
      </w:r>
    </w:p>
    <w:p>
      <w:pPr>
        <w:widowControl/>
        <w:spacing w:line="360" w:lineRule="auto"/>
        <w:jc w:val="center"/>
        <w:rPr>
          <w:rFonts w:hint="eastAsia" w:ascii="楷体" w:hAnsi="楷体" w:eastAsia="楷体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t xml:space="preserve">                                             二0二一年</w:t>
      </w:r>
      <w:r>
        <w:rPr>
          <w:rFonts w:hint="eastAsia" w:ascii="楷体" w:hAnsi="楷体" w:eastAsia="楷体"/>
          <w:color w:val="auto"/>
          <w:sz w:val="24"/>
          <w:szCs w:val="24"/>
          <w:lang w:val="en-US" w:eastAsia="zh-CN"/>
        </w:rPr>
        <w:t>九</w:t>
      </w:r>
      <w:r>
        <w:rPr>
          <w:rFonts w:hint="eastAsia" w:ascii="楷体" w:hAnsi="楷体" w:eastAsia="楷体"/>
          <w:color w:val="auto"/>
          <w:sz w:val="24"/>
          <w:szCs w:val="24"/>
        </w:rPr>
        <w:t>月</w:t>
      </w:r>
      <w:r>
        <w:rPr>
          <w:rFonts w:hint="eastAsia" w:ascii="楷体" w:hAnsi="楷体" w:eastAsia="楷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98972"/>
    <w:multiLevelType w:val="singleLevel"/>
    <w:tmpl w:val="10E9897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D2276E1"/>
    <w:multiLevelType w:val="singleLevel"/>
    <w:tmpl w:val="3D2276E1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4">
    <w:name w:val="heading 2"/>
    <w:basedOn w:val="1"/>
    <w:next w:val="5"/>
    <w:link w:val="9"/>
    <w:qFormat/>
    <w:uiPriority w:val="9"/>
    <w:pPr>
      <w:outlineLvl w:val="1"/>
    </w:pPr>
    <w:rPr>
      <w:rFonts w:ascii="宋体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ind w:left="100"/>
    </w:pPr>
    <w:rPr>
      <w:rFonts w:ascii="Microsoft JhengHei" w:hAnsi="Microsoft JhengHei" w:eastAsia="Microsoft JhengHei"/>
      <w:sz w:val="21"/>
    </w:rPr>
  </w:style>
  <w:style w:type="paragraph" w:styleId="3">
    <w:name w:val="toc 5"/>
    <w:basedOn w:val="1"/>
    <w:next w:val="1"/>
    <w:qFormat/>
    <w:uiPriority w:val="39"/>
    <w:pPr>
      <w:ind w:left="1120"/>
      <w:jc w:val="left"/>
    </w:pPr>
    <w:rPr>
      <w:sz w:val="18"/>
      <w:szCs w:val="18"/>
    </w:rPr>
  </w:style>
  <w:style w:type="paragraph" w:styleId="5">
    <w:name w:val="Normal Indent"/>
    <w:basedOn w:val="1"/>
    <w:unhideWhenUsed/>
    <w:qFormat/>
    <w:uiPriority w:val="0"/>
    <w:pPr>
      <w:spacing w:before="0" w:beforeLines="0" w:after="0" w:afterLines="0"/>
      <w:ind w:firstLine="420" w:firstLineChars="200"/>
    </w:pPr>
    <w:rPr>
      <w:rFonts w:hint="eastAsia" w:ascii="宋体" w:hAnsi="Arial" w:eastAsia="宋体"/>
      <w:sz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2 字符"/>
    <w:basedOn w:val="8"/>
    <w:link w:val="4"/>
    <w:unhideWhenUsed/>
    <w:locked/>
    <w:uiPriority w:val="9"/>
    <w:rPr>
      <w:rFonts w:ascii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2021-09-03T03:41:12Z</dcterms:created>
  <dc:creator>杨大羽</dc:creator>
  <cp:lastModifiedBy>意星辰</cp:lastModifiedBy>
  <dcterms:modified xsi:type="dcterms:W3CDTF">2021-09-03T03:42:39Z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AEDB94235D384D6FA50B4B508D683EDC</vt:lpwstr>
  </property>
</Properties>
</file>